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83AE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E4D8AD">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2C86251">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ascii="黑体" w:hAnsi="黑体" w:eastAsia="黑体"/>
                <w:sz w:val="21"/>
                <w:szCs w:val="21"/>
              </w:rPr>
              <w:fldChar w:fldCharType="end"/>
            </w:r>
            <w:bookmarkEnd w:id="0"/>
          </w:p>
        </w:tc>
      </w:tr>
      <w:tr w14:paraId="6C9C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8070D9">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CCD482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6A7F3AC">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5E8A54DD">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B45</w:t>
            </w:r>
            <w:r>
              <w:rPr>
                <w:rFonts w:ascii="黑体" w:hAnsi="黑体" w:eastAsia="黑体"/>
                <w:sz w:val="21"/>
                <w:szCs w:val="21"/>
              </w:rPr>
              <w:fldChar w:fldCharType="end"/>
            </w:r>
            <w:bookmarkEnd w:id="2"/>
          </w:p>
        </w:tc>
      </w:tr>
    </w:tbl>
    <w:p w14:paraId="19ED06AD">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E96A52E">
      <w:pPr>
        <w:pStyle w:val="197"/>
      </w:pPr>
      <w:r>
        <w:t>T/</w:t>
      </w:r>
      <w:r>
        <w:fldChar w:fldCharType="begin">
          <w:ffData>
            <w:name w:val="文字1"/>
            <w:enabled/>
            <w:calcOnExit w:val="0"/>
            <w:textInput>
              <w:default w:val="GXAS"/>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     </w:t>
      </w:r>
      <w:r>
        <w:fldChar w:fldCharType="end"/>
      </w:r>
      <w:bookmarkEnd w:id="7"/>
    </w:p>
    <w:p w14:paraId="151A91AE">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E512E6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VmsOkBAAC5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p9xZsHQ&#10;wO8///j56euvuy903n//xl6eJZV6FyoKntulTzzFzt64axQfA7M478CuZe72du8IYpwyir9SkhEc&#10;1Vr1b7GhGNhEzJLtWm8SJInBdnky+9Nk5C4yQY8XY1qdkoYmjr4CqmOi8yG+kWhYutRcK5tEgwq2&#10;1yGmRqA6hqRni1dK6zx4bVlf89fnk/OcEFCrJjlTWPDr1Vx7toW0OvnLrMjzMMzjxjZDEW1Tnsxb&#10;d6h8ZD3ot8Jmv/RHaWiiubfD9qWVeWhnAf/8cb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DYFZrDpAQAAuQMAAA4AAAAAAAAAAQAgAAAAJwEAAGRycy9lMm9Eb2MueG1sUEsFBgAAAAAGAAYA&#10;WQEAAIIFAAAAAA==&#10;">
                <v:fill on="f" focussize="0,0"/>
                <v:stroke color="#000000" joinstyle="round"/>
                <v:imagedata o:title=""/>
                <o:lock v:ext="edit" aspectratio="f"/>
              </v:line>
            </w:pict>
          </mc:Fallback>
        </mc:AlternateContent>
      </w:r>
    </w:p>
    <w:p w14:paraId="333FC76E">
      <w:pPr>
        <w:pStyle w:val="52"/>
        <w:framePr w:w="9639" w:h="6976" w:hRule="exact" w:hSpace="0" w:vSpace="0" w:wrap="around" w:hAnchor="page" w:y="6408"/>
        <w:jc w:val="center"/>
        <w:rPr>
          <w:rFonts w:ascii="黑体" w:hAnsi="黑体" w:eastAsia="黑体"/>
          <w:b w:val="0"/>
          <w:bCs w:val="0"/>
          <w:w w:val="100"/>
        </w:rPr>
      </w:pPr>
    </w:p>
    <w:p w14:paraId="5F19A9F5">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大米中硒形态的测定 高效液相色谱-电感耦合等离子体质谱法</w:t>
      </w:r>
      <w:r>
        <w:fldChar w:fldCharType="end"/>
      </w:r>
      <w:bookmarkEnd w:id="9"/>
    </w:p>
    <w:p w14:paraId="1255A4F0">
      <w:pPr>
        <w:framePr w:w="9639" w:h="6974" w:hRule="exact" w:wrap="around" w:vAnchor="page" w:hAnchor="page" w:x="1419" w:y="6408" w:anchorLock="1"/>
        <w:ind w:left="-1418"/>
      </w:pPr>
    </w:p>
    <w:p w14:paraId="2AF20A5E">
      <w:pPr>
        <w:pStyle w:val="127"/>
        <w:framePr w:w="9639" w:h="6974" w:hRule="exact" w:wrap="around" w:vAnchor="page" w:hAnchor="page" w:x="1419" w:y="6408" w:anchorLock="1"/>
        <w:textAlignment w:val="bottom"/>
        <w:rPr>
          <w:rFonts w:eastAsia="黑体"/>
          <w:szCs w:val="28"/>
        </w:rPr>
      </w:pPr>
      <w:bookmarkStart w:id="10" w:name="ESTD_NAME"/>
      <w:r>
        <w:rPr>
          <w:rFonts w:hint="eastAsia" w:eastAsia="黑体"/>
          <w:szCs w:val="28"/>
        </w:rPr>
        <w:fldChar w:fldCharType="begin">
          <w:ffData>
            <w:name w:val="ESTD_NAME"/>
            <w:enabled/>
            <w:calcOnExit w:val="0"/>
            <w:textInput>
              <w:default w:val="Determination of Selenium Forms in Rice by High Performance Liquid Chromatography Inductively Coupled Plasma Mass Spectrometry"/>
            </w:textInput>
          </w:ffData>
        </w:fldChar>
      </w:r>
      <w:r>
        <w:rPr>
          <w:rFonts w:hint="eastAsia" w:eastAsia="黑体"/>
          <w:szCs w:val="28"/>
        </w:rPr>
        <w:instrText xml:space="preserve">FORMTEXT</w:instrText>
      </w:r>
      <w:r>
        <w:rPr>
          <w:rFonts w:hint="eastAsia" w:eastAsia="黑体"/>
          <w:szCs w:val="28"/>
        </w:rPr>
        <w:fldChar w:fldCharType="separate"/>
      </w:r>
      <w:r>
        <w:rPr>
          <w:rFonts w:hint="eastAsia" w:eastAsia="黑体"/>
          <w:szCs w:val="28"/>
        </w:rPr>
        <w:t>Determination of Selenium Forms in Rice by High Performance Liquid Chromatography Inductively Coupled Plasma Mass Spectrometry</w:t>
      </w:r>
      <w:r>
        <w:rPr>
          <w:rFonts w:hint="eastAsia" w:eastAsia="黑体"/>
          <w:szCs w:val="28"/>
        </w:rPr>
        <w:fldChar w:fldCharType="end"/>
      </w:r>
      <w:bookmarkEnd w:id="10"/>
    </w:p>
    <w:p w14:paraId="418E9101">
      <w:pPr>
        <w:framePr w:w="9639" w:h="6974" w:hRule="exact" w:wrap="around" w:vAnchor="page" w:hAnchor="page" w:x="1419" w:y="6408" w:anchorLock="1"/>
        <w:spacing w:line="760" w:lineRule="exact"/>
        <w:ind w:left="-1418"/>
      </w:pPr>
    </w:p>
    <w:p w14:paraId="0B1024DE">
      <w:pPr>
        <w:pStyle w:val="127"/>
        <w:framePr w:w="9639" w:h="6974" w:hRule="exact" w:wrap="around" w:vAnchor="page" w:hAnchor="page" w:x="1419" w:y="6408" w:anchorLock="1"/>
        <w:textAlignment w:val="bottom"/>
        <w:rPr>
          <w:rFonts w:eastAsia="黑体"/>
          <w:szCs w:val="28"/>
        </w:rPr>
      </w:pPr>
    </w:p>
    <w:p w14:paraId="3AABA2E9">
      <w:pPr>
        <w:pStyle w:val="127"/>
        <w:framePr w:w="9639" w:h="6974" w:hRule="exact" w:wrap="around" w:vAnchor="page" w:hAnchor="page" w:x="1419" w:y="6408" w:anchorLock="1"/>
        <w:spacing w:before="440" w:after="160"/>
        <w:textAlignment w:val="bottom"/>
        <w:rPr>
          <w:sz w:val="24"/>
          <w:szCs w:val="28"/>
        </w:rPr>
      </w:pPr>
      <w:bookmarkStart w:id="11" w:name="下拉1"/>
      <w:r>
        <w:rPr>
          <w:rFonts w:ascii="Times New Roman" w:hAnsi="Times New Roman" w:eastAsia="宋体" w:cs="Times New Roman"/>
          <w:sz w:val="24"/>
          <w:szCs w:val="28"/>
          <w:lang w:val="en-US" w:eastAsia="zh-CN" w:bidi="ar-SA"/>
        </w:rPr>
        <w:fldChar w:fldCharType="begin">
          <w:ffData>
            <w:name w:val="下拉1"/>
            <w:enabled/>
            <w:calcOnExit w:val="0"/>
            <w:ddList>
              <w:result w:val="2"/>
              <w:listEntry w:val="草案版次选择"/>
              <w:listEntry w:val="（工作组讨论稿）"/>
              <w:listEntry w:val="（征求意见稿）"/>
              <w:listEntry w:val=" "/>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1"/>
    </w:p>
    <w:p w14:paraId="1D052EA6">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05890DD">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853F88E">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7</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24</w:t>
      </w:r>
      <w:r>
        <w:rPr>
          <w:rFonts w:ascii="黑体"/>
        </w:rPr>
        <w:fldChar w:fldCharType="end"/>
      </w:r>
      <w:bookmarkEnd w:id="16"/>
      <w:r>
        <w:rPr>
          <w:rFonts w:hint="eastAsia"/>
        </w:rPr>
        <w:t>发布</w:t>
      </w:r>
    </w:p>
    <w:p w14:paraId="67540076">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7</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24</w:t>
      </w:r>
      <w:r>
        <w:rPr>
          <w:rFonts w:ascii="黑体"/>
        </w:rPr>
        <w:fldChar w:fldCharType="end"/>
      </w:r>
      <w:bookmarkEnd w:id="19"/>
      <w:r>
        <w:rPr>
          <w:rFonts w:hint="eastAsia"/>
        </w:rPr>
        <w:t>实施</w:t>
      </w:r>
    </w:p>
    <w:p w14:paraId="22423A75">
      <w:pPr>
        <w:pStyle w:val="153"/>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606B4B68">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14:paraId="60C34A79">
      <w:pPr>
        <w:pStyle w:val="93"/>
        <w:bidi w:val="0"/>
        <w:rPr>
          <w:rFonts w:hint="eastAsia"/>
          <w:lang w:eastAsia="zh-CN"/>
        </w:rPr>
      </w:pPr>
      <w:bookmarkStart w:id="21" w:name="BookMark1"/>
      <w:bookmarkStart w:id="22" w:name="_Toc150015664"/>
      <w:bookmarkStart w:id="23" w:name="_Toc150014764"/>
      <w:r>
        <w:rPr>
          <w:rFonts w:hint="eastAsia"/>
          <w:spacing w:val="318"/>
          <w:lang w:eastAsia="zh-CN"/>
        </w:rPr>
        <w:t>目</w:t>
      </w:r>
      <w:r>
        <w:rPr>
          <w:rFonts w:hint="eastAsia"/>
          <w:lang w:eastAsia="zh-CN"/>
        </w:rPr>
        <w:t>次</w:t>
      </w:r>
    </w:p>
    <w:p w14:paraId="7FE7CCE3">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"1-2"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_Toc29450 </w:instrText>
      </w:r>
      <w:r>
        <w:rPr>
          <w:rFonts w:hint="eastAsia" w:ascii="宋体" w:hAnsi="宋体" w:eastAsia="宋体" w:cs="宋体"/>
          <w:spacing w:val="0"/>
          <w:lang w:eastAsia="zh-CN"/>
        </w:rPr>
        <w:fldChar w:fldCharType="separate"/>
      </w:r>
      <w:r>
        <w:rPr>
          <w:spacing w:val="320"/>
        </w:rPr>
        <w:t>前</w:t>
      </w:r>
      <w:r>
        <w:t>言</w:t>
      </w:r>
      <w:r>
        <w:tab/>
      </w:r>
      <w:r>
        <w:fldChar w:fldCharType="begin"/>
      </w:r>
      <w:r>
        <w:instrText xml:space="preserve"> PAGEREF _Toc29450 \h </w:instrText>
      </w:r>
      <w:r>
        <w:fldChar w:fldCharType="separate"/>
      </w:r>
      <w:r>
        <w:t>II</w:t>
      </w:r>
      <w:r>
        <w:fldChar w:fldCharType="end"/>
      </w:r>
      <w:r>
        <w:rPr>
          <w:rFonts w:hint="eastAsia" w:ascii="宋体" w:hAnsi="宋体" w:eastAsia="宋体" w:cs="宋体"/>
          <w:spacing w:val="0"/>
          <w:lang w:eastAsia="zh-CN"/>
        </w:rPr>
        <w:fldChar w:fldCharType="end"/>
      </w:r>
    </w:p>
    <w:p w14:paraId="453D2177">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_Toc8659 </w:instrText>
      </w:r>
      <w:r>
        <w:rPr>
          <w:rFonts w:hint="eastAsia" w:ascii="宋体" w:hAnsi="宋体" w:eastAsia="宋体" w:cs="宋体"/>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_Toc8659 \h </w:instrText>
      </w:r>
      <w:r>
        <w:fldChar w:fldCharType="separate"/>
      </w:r>
      <w:r>
        <w:t>1</w:t>
      </w:r>
      <w:r>
        <w:fldChar w:fldCharType="end"/>
      </w:r>
      <w:r>
        <w:rPr>
          <w:rFonts w:hint="eastAsia" w:ascii="宋体" w:hAnsi="宋体" w:eastAsia="宋体" w:cs="宋体"/>
          <w:spacing w:val="0"/>
          <w:lang w:eastAsia="zh-CN"/>
        </w:rPr>
        <w:fldChar w:fldCharType="end"/>
      </w:r>
    </w:p>
    <w:p w14:paraId="25DB7109">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_Toc6830 </w:instrText>
      </w:r>
      <w:r>
        <w:rPr>
          <w:rFonts w:hint="eastAsia" w:ascii="宋体" w:hAnsi="宋体" w:eastAsia="宋体" w:cs="宋体"/>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_Toc6830 \h </w:instrText>
      </w:r>
      <w:r>
        <w:fldChar w:fldCharType="separate"/>
      </w:r>
      <w:r>
        <w:t>1</w:t>
      </w:r>
      <w:r>
        <w:fldChar w:fldCharType="end"/>
      </w:r>
      <w:r>
        <w:rPr>
          <w:rFonts w:hint="eastAsia" w:ascii="宋体" w:hAnsi="宋体" w:eastAsia="宋体" w:cs="宋体"/>
          <w:spacing w:val="0"/>
          <w:lang w:eastAsia="zh-CN"/>
        </w:rPr>
        <w:fldChar w:fldCharType="end"/>
      </w:r>
    </w:p>
    <w:p w14:paraId="6135F8B6">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_Toc746 </w:instrText>
      </w:r>
      <w:r>
        <w:rPr>
          <w:rFonts w:hint="eastAsia" w:ascii="宋体" w:hAnsi="宋体" w:eastAsia="宋体" w:cs="宋体"/>
          <w:spacing w:val="0"/>
          <w:lang w:eastAsia="zh-CN"/>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_Toc746 \h </w:instrText>
      </w:r>
      <w:r>
        <w:fldChar w:fldCharType="separate"/>
      </w:r>
      <w:r>
        <w:t>1</w:t>
      </w:r>
      <w:r>
        <w:fldChar w:fldCharType="end"/>
      </w:r>
      <w:r>
        <w:rPr>
          <w:rFonts w:hint="eastAsia" w:ascii="宋体" w:hAnsi="宋体" w:eastAsia="宋体" w:cs="宋体"/>
          <w:spacing w:val="0"/>
          <w:lang w:eastAsia="zh-CN"/>
        </w:rPr>
        <w:fldChar w:fldCharType="end"/>
      </w:r>
    </w:p>
    <w:p w14:paraId="19482986">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_Toc27260 </w:instrText>
      </w:r>
      <w:r>
        <w:rPr>
          <w:rFonts w:hint="eastAsia" w:ascii="宋体" w:hAnsi="宋体" w:eastAsia="宋体" w:cs="宋体"/>
          <w:spacing w:val="0"/>
          <w:lang w:eastAsia="zh-CN"/>
        </w:rPr>
        <w:fldChar w:fldCharType="separate"/>
      </w:r>
      <w:r>
        <w:rPr>
          <w:rFonts w:hint="eastAsia" w:ascii="黑体" w:eastAsia="黑体"/>
          <w:i w:val="0"/>
        </w:rPr>
        <w:t xml:space="preserve">4 </w:t>
      </w:r>
      <w:r>
        <w:rPr>
          <w:rFonts w:hint="eastAsia"/>
        </w:rPr>
        <w:t>原理</w:t>
      </w:r>
      <w:r>
        <w:tab/>
      </w:r>
      <w:r>
        <w:fldChar w:fldCharType="begin"/>
      </w:r>
      <w:r>
        <w:instrText xml:space="preserve"> PAGEREF _Toc27260 \h </w:instrText>
      </w:r>
      <w:r>
        <w:fldChar w:fldCharType="separate"/>
      </w:r>
      <w:r>
        <w:t>1</w:t>
      </w:r>
      <w:r>
        <w:fldChar w:fldCharType="end"/>
      </w:r>
      <w:r>
        <w:rPr>
          <w:rFonts w:hint="eastAsia" w:ascii="宋体" w:hAnsi="宋体" w:eastAsia="宋体" w:cs="宋体"/>
          <w:spacing w:val="0"/>
          <w:lang w:eastAsia="zh-CN"/>
        </w:rPr>
        <w:fldChar w:fldCharType="end"/>
      </w:r>
    </w:p>
    <w:p w14:paraId="3361326D">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_Toc18663 </w:instrText>
      </w:r>
      <w:r>
        <w:rPr>
          <w:rFonts w:hint="eastAsia" w:ascii="宋体" w:hAnsi="宋体" w:eastAsia="宋体" w:cs="宋体"/>
          <w:spacing w:val="0"/>
          <w:lang w:eastAsia="zh-CN"/>
        </w:rPr>
        <w:fldChar w:fldCharType="separate"/>
      </w:r>
      <w:r>
        <w:rPr>
          <w:rFonts w:hint="eastAsia" w:ascii="黑体" w:eastAsia="黑体"/>
          <w:i w:val="0"/>
        </w:rPr>
        <w:t xml:space="preserve">5 </w:t>
      </w:r>
      <w:r>
        <w:rPr>
          <w:rFonts w:hint="eastAsia"/>
        </w:rPr>
        <w:t>试剂和材料</w:t>
      </w:r>
      <w:r>
        <w:tab/>
      </w:r>
      <w:r>
        <w:fldChar w:fldCharType="begin"/>
      </w:r>
      <w:r>
        <w:instrText xml:space="preserve"> PAGEREF _Toc18663 \h </w:instrText>
      </w:r>
      <w:r>
        <w:fldChar w:fldCharType="separate"/>
      </w:r>
      <w:r>
        <w:t>1</w:t>
      </w:r>
      <w:r>
        <w:fldChar w:fldCharType="end"/>
      </w:r>
      <w:r>
        <w:rPr>
          <w:rFonts w:hint="eastAsia" w:ascii="宋体" w:hAnsi="宋体" w:eastAsia="宋体" w:cs="宋体"/>
          <w:spacing w:val="0"/>
          <w:lang w:eastAsia="zh-CN"/>
        </w:rPr>
        <w:fldChar w:fldCharType="end"/>
      </w:r>
    </w:p>
    <w:p w14:paraId="2E8A020F">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_Toc19570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rPr>
        <w:t>试剂</w:t>
      </w:r>
      <w:r>
        <w:tab/>
      </w:r>
      <w:r>
        <w:fldChar w:fldCharType="begin"/>
      </w:r>
      <w:r>
        <w:instrText xml:space="preserve"> PAGEREF _Toc19570 \h </w:instrText>
      </w:r>
      <w:r>
        <w:fldChar w:fldCharType="separate"/>
      </w:r>
      <w:r>
        <w:t>1</w:t>
      </w:r>
      <w:r>
        <w:fldChar w:fldCharType="end"/>
      </w:r>
      <w:r>
        <w:rPr>
          <w:rFonts w:hint="eastAsia" w:ascii="宋体" w:hAnsi="宋体" w:eastAsia="宋体" w:cs="宋体"/>
          <w:spacing w:val="0"/>
          <w:lang w:eastAsia="zh-CN"/>
        </w:rPr>
        <w:fldChar w:fldCharType="end"/>
      </w:r>
    </w:p>
    <w:p w14:paraId="0B4818CD">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_Toc2785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rPr>
        <w:t>试剂的配制</w:t>
      </w:r>
      <w:r>
        <w:tab/>
      </w:r>
      <w:r>
        <w:fldChar w:fldCharType="begin"/>
      </w:r>
      <w:r>
        <w:instrText xml:space="preserve"> PAGEREF _Toc2785 \h </w:instrText>
      </w:r>
      <w:r>
        <w:fldChar w:fldCharType="separate"/>
      </w:r>
      <w:r>
        <w:t>2</w:t>
      </w:r>
      <w:r>
        <w:fldChar w:fldCharType="end"/>
      </w:r>
      <w:r>
        <w:rPr>
          <w:rFonts w:hint="eastAsia" w:ascii="宋体" w:hAnsi="宋体" w:eastAsia="宋体" w:cs="宋体"/>
          <w:spacing w:val="0"/>
          <w:lang w:eastAsia="zh-CN"/>
        </w:rPr>
        <w:fldChar w:fldCharType="end"/>
      </w:r>
    </w:p>
    <w:p w14:paraId="45EC3F83">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_Toc17426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5.3 </w:t>
      </w:r>
      <w:r>
        <w:rPr>
          <w:rFonts w:hint="eastAsia"/>
        </w:rPr>
        <w:t>设备</w:t>
      </w:r>
      <w:r>
        <w:tab/>
      </w:r>
      <w:r>
        <w:fldChar w:fldCharType="begin"/>
      </w:r>
      <w:r>
        <w:instrText xml:space="preserve"> PAGEREF _Toc17426 \h </w:instrText>
      </w:r>
      <w:r>
        <w:fldChar w:fldCharType="separate"/>
      </w:r>
      <w:r>
        <w:t>2</w:t>
      </w:r>
      <w:r>
        <w:fldChar w:fldCharType="end"/>
      </w:r>
      <w:r>
        <w:rPr>
          <w:rFonts w:hint="eastAsia" w:ascii="宋体" w:hAnsi="宋体" w:eastAsia="宋体" w:cs="宋体"/>
          <w:spacing w:val="0"/>
          <w:lang w:eastAsia="zh-CN"/>
        </w:rPr>
        <w:fldChar w:fldCharType="end"/>
      </w:r>
    </w:p>
    <w:p w14:paraId="37D95B89">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_Toc3058 </w:instrText>
      </w:r>
      <w:r>
        <w:rPr>
          <w:rFonts w:hint="eastAsia" w:ascii="宋体" w:hAnsi="宋体" w:eastAsia="宋体" w:cs="宋体"/>
          <w:spacing w:val="0"/>
          <w:lang w:eastAsia="zh-CN"/>
        </w:rPr>
        <w:fldChar w:fldCharType="separate"/>
      </w:r>
      <w:r>
        <w:rPr>
          <w:rFonts w:hint="eastAsia" w:ascii="黑体" w:eastAsia="黑体"/>
          <w:i w:val="0"/>
        </w:rPr>
        <w:t xml:space="preserve">6 </w:t>
      </w:r>
      <w:r>
        <w:rPr>
          <w:rFonts w:hint="eastAsia"/>
        </w:rPr>
        <w:t>分析步骤</w:t>
      </w:r>
      <w:r>
        <w:tab/>
      </w:r>
      <w:r>
        <w:fldChar w:fldCharType="begin"/>
      </w:r>
      <w:r>
        <w:instrText xml:space="preserve"> PAGEREF _Toc3058 \h </w:instrText>
      </w:r>
      <w:r>
        <w:fldChar w:fldCharType="separate"/>
      </w:r>
      <w:r>
        <w:t>2</w:t>
      </w:r>
      <w:r>
        <w:fldChar w:fldCharType="end"/>
      </w:r>
      <w:r>
        <w:rPr>
          <w:rFonts w:hint="eastAsia" w:ascii="宋体" w:hAnsi="宋体" w:eastAsia="宋体" w:cs="宋体"/>
          <w:spacing w:val="0"/>
          <w:lang w:eastAsia="zh-CN"/>
        </w:rPr>
        <w:fldChar w:fldCharType="end"/>
      </w:r>
    </w:p>
    <w:p w14:paraId="4EE8196C">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_Toc10027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rPr>
        <w:t>扦样</w:t>
      </w:r>
      <w:r>
        <w:tab/>
      </w:r>
      <w:r>
        <w:fldChar w:fldCharType="begin"/>
      </w:r>
      <w:r>
        <w:instrText xml:space="preserve"> PAGEREF _Toc10027 \h </w:instrText>
      </w:r>
      <w:r>
        <w:fldChar w:fldCharType="separate"/>
      </w:r>
      <w:r>
        <w:t>2</w:t>
      </w:r>
      <w:r>
        <w:fldChar w:fldCharType="end"/>
      </w:r>
      <w:r>
        <w:rPr>
          <w:rFonts w:hint="eastAsia" w:ascii="宋体" w:hAnsi="宋体" w:eastAsia="宋体" w:cs="宋体"/>
          <w:spacing w:val="0"/>
          <w:lang w:eastAsia="zh-CN"/>
        </w:rPr>
        <w:fldChar w:fldCharType="end"/>
      </w:r>
    </w:p>
    <w:p w14:paraId="3494BA80">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_Toc21855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rPr>
        <w:t>样品的制备</w:t>
      </w:r>
      <w:r>
        <w:tab/>
      </w:r>
      <w:r>
        <w:fldChar w:fldCharType="begin"/>
      </w:r>
      <w:r>
        <w:instrText xml:space="preserve"> PAGEREF _Toc21855 \h </w:instrText>
      </w:r>
      <w:r>
        <w:fldChar w:fldCharType="separate"/>
      </w:r>
      <w:r>
        <w:t>2</w:t>
      </w:r>
      <w:r>
        <w:fldChar w:fldCharType="end"/>
      </w:r>
      <w:r>
        <w:rPr>
          <w:rFonts w:hint="eastAsia" w:ascii="宋体" w:hAnsi="宋体" w:eastAsia="宋体" w:cs="宋体"/>
          <w:spacing w:val="0"/>
          <w:lang w:eastAsia="zh-CN"/>
        </w:rPr>
        <w:fldChar w:fldCharType="end"/>
      </w:r>
    </w:p>
    <w:p w14:paraId="55446663">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_Toc473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6.3 </w:t>
      </w:r>
      <w:r>
        <w:rPr>
          <w:rFonts w:hint="eastAsia"/>
        </w:rPr>
        <w:t>试样提取</w:t>
      </w:r>
      <w:r>
        <w:tab/>
      </w:r>
      <w:r>
        <w:fldChar w:fldCharType="begin"/>
      </w:r>
      <w:r>
        <w:instrText xml:space="preserve"> PAGEREF _Toc473 \h </w:instrText>
      </w:r>
      <w:r>
        <w:fldChar w:fldCharType="separate"/>
      </w:r>
      <w:r>
        <w:t>2</w:t>
      </w:r>
      <w:r>
        <w:fldChar w:fldCharType="end"/>
      </w:r>
      <w:r>
        <w:rPr>
          <w:rFonts w:hint="eastAsia" w:ascii="宋体" w:hAnsi="宋体" w:eastAsia="宋体" w:cs="宋体"/>
          <w:spacing w:val="0"/>
          <w:lang w:eastAsia="zh-CN"/>
        </w:rPr>
        <w:fldChar w:fldCharType="end"/>
      </w:r>
    </w:p>
    <w:p w14:paraId="202EFD1E">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_Toc29464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6.4 </w:t>
      </w:r>
      <w:r>
        <w:rPr>
          <w:rFonts w:hint="eastAsia"/>
        </w:rPr>
        <w:t>空白试验</w:t>
      </w:r>
      <w:r>
        <w:tab/>
      </w:r>
      <w:r>
        <w:fldChar w:fldCharType="begin"/>
      </w:r>
      <w:r>
        <w:instrText xml:space="preserve"> PAGEREF _Toc29464 \h </w:instrText>
      </w:r>
      <w:r>
        <w:fldChar w:fldCharType="separate"/>
      </w:r>
      <w:r>
        <w:t>3</w:t>
      </w:r>
      <w:r>
        <w:fldChar w:fldCharType="end"/>
      </w:r>
      <w:r>
        <w:rPr>
          <w:rFonts w:hint="eastAsia" w:ascii="宋体" w:hAnsi="宋体" w:eastAsia="宋体" w:cs="宋体"/>
          <w:spacing w:val="0"/>
          <w:lang w:eastAsia="zh-CN"/>
        </w:rPr>
        <w:fldChar w:fldCharType="end"/>
      </w:r>
    </w:p>
    <w:p w14:paraId="6B0861C3">
      <w:pPr>
        <w:pStyle w:val="26"/>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_Toc10117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6.5 </w:t>
      </w:r>
      <w:r>
        <w:rPr>
          <w:rFonts w:hint="eastAsia"/>
        </w:rPr>
        <w:t>测定</w:t>
      </w:r>
      <w:r>
        <w:tab/>
      </w:r>
      <w:r>
        <w:fldChar w:fldCharType="begin"/>
      </w:r>
      <w:r>
        <w:instrText xml:space="preserve"> PAGEREF _Toc10117 \h </w:instrText>
      </w:r>
      <w:r>
        <w:fldChar w:fldCharType="separate"/>
      </w:r>
      <w:r>
        <w:t>3</w:t>
      </w:r>
      <w:r>
        <w:fldChar w:fldCharType="end"/>
      </w:r>
      <w:r>
        <w:rPr>
          <w:rFonts w:hint="eastAsia" w:ascii="宋体" w:hAnsi="宋体" w:eastAsia="宋体" w:cs="宋体"/>
          <w:spacing w:val="0"/>
          <w:lang w:eastAsia="zh-CN"/>
        </w:rPr>
        <w:fldChar w:fldCharType="end"/>
      </w:r>
    </w:p>
    <w:p w14:paraId="21181292">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_Toc27957 </w:instrText>
      </w:r>
      <w:r>
        <w:rPr>
          <w:rFonts w:hint="eastAsia" w:ascii="宋体" w:hAnsi="宋体" w:eastAsia="宋体" w:cs="宋体"/>
          <w:spacing w:val="0"/>
          <w:lang w:eastAsia="zh-CN"/>
        </w:rPr>
        <w:fldChar w:fldCharType="separate"/>
      </w:r>
      <w:r>
        <w:rPr>
          <w:rFonts w:hint="eastAsia" w:ascii="黑体" w:eastAsia="黑体"/>
          <w:i w:val="0"/>
        </w:rPr>
        <w:t xml:space="preserve">7 </w:t>
      </w:r>
      <w:r>
        <w:rPr>
          <w:rFonts w:hint="eastAsia"/>
        </w:rPr>
        <w:t>结果的允许误差精密度</w:t>
      </w:r>
      <w:r>
        <w:tab/>
      </w:r>
      <w:r>
        <w:fldChar w:fldCharType="begin"/>
      </w:r>
      <w:r>
        <w:instrText xml:space="preserve"> PAGEREF _Toc27957 \h </w:instrText>
      </w:r>
      <w:r>
        <w:fldChar w:fldCharType="separate"/>
      </w:r>
      <w:r>
        <w:t>4</w:t>
      </w:r>
      <w:r>
        <w:fldChar w:fldCharType="end"/>
      </w:r>
      <w:r>
        <w:rPr>
          <w:rFonts w:hint="eastAsia" w:ascii="宋体" w:hAnsi="宋体" w:eastAsia="宋体" w:cs="宋体"/>
          <w:spacing w:val="0"/>
          <w:lang w:eastAsia="zh-CN"/>
        </w:rPr>
        <w:fldChar w:fldCharType="end"/>
      </w:r>
    </w:p>
    <w:p w14:paraId="41446991">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_Toc16621 </w:instrText>
      </w:r>
      <w:r>
        <w:rPr>
          <w:rFonts w:hint="eastAsia" w:ascii="宋体" w:hAnsi="宋体" w:eastAsia="宋体" w:cs="宋体"/>
          <w:spacing w:val="0"/>
          <w:lang w:eastAsia="zh-CN"/>
        </w:rPr>
        <w:fldChar w:fldCharType="separate"/>
      </w:r>
      <w:r>
        <w:rPr>
          <w:rFonts w:hint="eastAsia" w:ascii="黑体" w:eastAsia="黑体"/>
          <w:i w:val="0"/>
        </w:rPr>
        <w:t xml:space="preserve">8 </w:t>
      </w:r>
      <w:r>
        <w:t>质量控制</w:t>
      </w:r>
      <w:r>
        <w:tab/>
      </w:r>
      <w:r>
        <w:fldChar w:fldCharType="begin"/>
      </w:r>
      <w:r>
        <w:instrText xml:space="preserve"> PAGEREF _Toc16621 \h </w:instrText>
      </w:r>
      <w:r>
        <w:fldChar w:fldCharType="separate"/>
      </w:r>
      <w:r>
        <w:t>4</w:t>
      </w:r>
      <w:r>
        <w:fldChar w:fldCharType="end"/>
      </w:r>
      <w:r>
        <w:rPr>
          <w:rFonts w:hint="eastAsia" w:ascii="宋体" w:hAnsi="宋体" w:eastAsia="宋体" w:cs="宋体"/>
          <w:spacing w:val="0"/>
          <w:lang w:eastAsia="zh-CN"/>
        </w:rPr>
        <w:fldChar w:fldCharType="end"/>
      </w:r>
    </w:p>
    <w:p w14:paraId="490FACBB">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_Toc11866 </w:instrText>
      </w:r>
      <w:r>
        <w:rPr>
          <w:rFonts w:hint="eastAsia" w:ascii="宋体" w:hAnsi="宋体" w:eastAsia="宋体" w:cs="宋体"/>
          <w:spacing w:val="0"/>
          <w:lang w:eastAsia="zh-CN"/>
        </w:rPr>
        <w:fldChar w:fldCharType="separate"/>
      </w:r>
      <w:r>
        <w:rPr>
          <w:rFonts w:hint="eastAsia" w:ascii="黑体" w:eastAsia="黑体"/>
          <w:i w:val="0"/>
        </w:rPr>
        <w:t xml:space="preserve">9 </w:t>
      </w:r>
      <w:r>
        <w:t>检出限和定量限</w:t>
      </w:r>
      <w:r>
        <w:tab/>
      </w:r>
      <w:r>
        <w:fldChar w:fldCharType="begin"/>
      </w:r>
      <w:r>
        <w:instrText xml:space="preserve"> PAGEREF _Toc11866 \h </w:instrText>
      </w:r>
      <w:r>
        <w:fldChar w:fldCharType="separate"/>
      </w:r>
      <w:r>
        <w:t>4</w:t>
      </w:r>
      <w:r>
        <w:fldChar w:fldCharType="end"/>
      </w:r>
      <w:r>
        <w:rPr>
          <w:rFonts w:hint="eastAsia" w:ascii="宋体" w:hAnsi="宋体" w:eastAsia="宋体" w:cs="宋体"/>
          <w:spacing w:val="0"/>
          <w:lang w:eastAsia="zh-CN"/>
        </w:rPr>
        <w:fldChar w:fldCharType="end"/>
      </w:r>
    </w:p>
    <w:p w14:paraId="5F65497A">
      <w:pPr>
        <w:pStyle w:val="21"/>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_Toc26501 </w:instrText>
      </w:r>
      <w:r>
        <w:rPr>
          <w:rFonts w:hint="eastAsia" w:ascii="宋体" w:hAnsi="宋体" w:eastAsia="宋体" w:cs="宋体"/>
          <w:spacing w:val="0"/>
          <w:lang w:eastAsia="zh-CN"/>
        </w:rPr>
        <w:fldChar w:fldCharType="separate"/>
      </w:r>
      <w:r>
        <w:rPr>
          <w:rFonts w:hint="eastAsia"/>
          <w:spacing w:val="100"/>
        </w:rPr>
        <w:t xml:space="preserve">附录A </w:t>
      </w:r>
      <w:r>
        <w:t xml:space="preserve"> </w:t>
      </w:r>
      <w:r>
        <w:rPr>
          <w:rFonts w:hint="eastAsia"/>
          <w:lang w:eastAsia="zh-CN"/>
        </w:rPr>
        <w:t>（资料性）</w:t>
      </w:r>
      <w:r>
        <w:rPr>
          <w:rFonts w:hint="eastAsia"/>
          <w:lang w:eastAsia="zh-CN"/>
        </w:rPr>
        <w:t xml:space="preserve"> </w:t>
      </w:r>
      <w:r>
        <w:rPr>
          <w:rFonts w:hint="eastAsia"/>
          <w:lang w:eastAsia="zh-CN"/>
        </w:rPr>
        <w:t>LC-ICP/MS法色谱图</w:t>
      </w:r>
      <w:r>
        <w:tab/>
      </w:r>
      <w:r>
        <w:fldChar w:fldCharType="begin"/>
      </w:r>
      <w:r>
        <w:instrText xml:space="preserve"> PAGEREF _Toc26501 \h </w:instrText>
      </w:r>
      <w:r>
        <w:fldChar w:fldCharType="separate"/>
      </w:r>
      <w:r>
        <w:t>5</w:t>
      </w:r>
      <w:r>
        <w:fldChar w:fldCharType="end"/>
      </w:r>
      <w:r>
        <w:rPr>
          <w:rFonts w:hint="eastAsia" w:ascii="宋体" w:hAnsi="宋体" w:eastAsia="宋体" w:cs="宋体"/>
          <w:spacing w:val="0"/>
          <w:lang w:eastAsia="zh-CN"/>
        </w:rPr>
        <w:fldChar w:fldCharType="end"/>
      </w:r>
    </w:p>
    <w:p w14:paraId="3B6FB710">
      <w:pPr>
        <w:pStyle w:val="58"/>
        <w:bidi w:val="0"/>
        <w:rPr>
          <w:rFonts w:hint="eastAsia" w:ascii="宋体" w:hAnsi="宋体" w:eastAsia="宋体" w:cs="宋体"/>
          <w:spacing w:val="0"/>
          <w:lang w:eastAsia="zh-CN"/>
        </w:rPr>
      </w:pPr>
      <w:r>
        <w:rPr>
          <w:rFonts w:hint="eastAsia" w:ascii="宋体" w:hAnsi="宋体" w:eastAsia="宋体" w:cs="宋体"/>
          <w:spacing w:val="0"/>
          <w:lang w:eastAsia="zh-CN"/>
        </w:rPr>
        <w:fldChar w:fldCharType="end"/>
      </w:r>
    </w:p>
    <w:p w14:paraId="373694DC">
      <w:pPr>
        <w:pStyle w:val="58"/>
        <w:bidi w:val="0"/>
        <w:rPr>
          <w:rFonts w:hint="eastAsia" w:ascii="宋体" w:hAnsi="宋体" w:eastAsia="宋体" w:cs="宋体"/>
          <w:spacing w:val="0"/>
          <w:lang w:eastAsia="zh-CN"/>
        </w:rPr>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425" w:num="1"/>
          <w:formProt w:val="0"/>
          <w:docGrid w:linePitch="312" w:charSpace="0"/>
        </w:sectPr>
      </w:pPr>
    </w:p>
    <w:bookmarkEnd w:id="21"/>
    <w:p w14:paraId="42DBF727">
      <w:pPr>
        <w:pStyle w:val="91"/>
        <w:spacing w:before="900" w:after="360"/>
      </w:pPr>
      <w:bookmarkStart w:id="24" w:name="_Toc29450"/>
      <w:bookmarkStart w:id="25" w:name="BookMark2"/>
      <w:r>
        <w:rPr>
          <w:spacing w:val="320"/>
        </w:rPr>
        <w:t>前</w:t>
      </w:r>
      <w:r>
        <w:t>言</w:t>
      </w:r>
      <w:bookmarkEnd w:id="22"/>
      <w:bookmarkEnd w:id="23"/>
      <w:bookmarkEnd w:id="24"/>
    </w:p>
    <w:p w14:paraId="4107D0A0">
      <w:pPr>
        <w:pStyle w:val="58"/>
        <w:ind w:firstLine="420"/>
      </w:pPr>
      <w:r>
        <w:rPr>
          <w:rFonts w:hint="eastAsia"/>
        </w:rPr>
        <w:t>本</w:t>
      </w:r>
      <w:r>
        <w:rPr>
          <w:rFonts w:hint="eastAsia"/>
          <w:lang w:eastAsia="zh-CN"/>
        </w:rPr>
        <w:t>文件</w:t>
      </w:r>
      <w:r>
        <w:rPr>
          <w:rFonts w:hint="eastAsia"/>
        </w:rPr>
        <w:t>按照GB/T 1.1—2020《标准化工作导则  第1部分：标准化文件的结构和起草规则》的规定起草。</w:t>
      </w:r>
    </w:p>
    <w:p w14:paraId="3B009F33">
      <w:pPr>
        <w:pStyle w:val="58"/>
        <w:ind w:firstLine="420"/>
      </w:pPr>
      <w:r>
        <w:rPr>
          <w:rFonts w:hint="eastAsia"/>
        </w:rPr>
        <w:t>请注意本</w:t>
      </w:r>
      <w:r>
        <w:rPr>
          <w:rFonts w:hint="eastAsia"/>
          <w:lang w:eastAsia="zh-CN"/>
        </w:rPr>
        <w:t>文件</w:t>
      </w:r>
      <w:r>
        <w:rPr>
          <w:rFonts w:hint="eastAsia"/>
        </w:rPr>
        <w:t>的某些内容可能涉及专利。本</w:t>
      </w:r>
      <w:r>
        <w:rPr>
          <w:rFonts w:hint="eastAsia"/>
          <w:lang w:eastAsia="zh-CN"/>
        </w:rPr>
        <w:t>文件</w:t>
      </w:r>
      <w:r>
        <w:rPr>
          <w:rFonts w:hint="eastAsia"/>
        </w:rPr>
        <w:t>的发布机构不承担识别专利的责任。</w:t>
      </w:r>
    </w:p>
    <w:p w14:paraId="0E942279">
      <w:pPr>
        <w:pStyle w:val="58"/>
        <w:ind w:firstLine="420"/>
      </w:pPr>
      <w:r>
        <w:rPr>
          <w:rFonts w:hint="eastAsia"/>
        </w:rPr>
        <w:t>本</w:t>
      </w:r>
      <w:r>
        <w:rPr>
          <w:rFonts w:hint="eastAsia"/>
          <w:lang w:eastAsia="zh-CN"/>
        </w:rPr>
        <w:t>文件</w:t>
      </w:r>
      <w:r>
        <w:rPr>
          <w:rFonts w:hint="eastAsia"/>
        </w:rPr>
        <w:t>由广西</w:t>
      </w:r>
      <w:r>
        <w:rPr>
          <w:rFonts w:hint="eastAsia"/>
          <w:lang w:eastAsia="zh-CN"/>
        </w:rPr>
        <w:t>—</w:t>
      </w:r>
      <w:r>
        <w:rPr>
          <w:rFonts w:hint="eastAsia"/>
        </w:rPr>
        <w:t>东盟食品检验检测中心提出。</w:t>
      </w:r>
    </w:p>
    <w:p w14:paraId="4D87D7D1">
      <w:pPr>
        <w:pStyle w:val="58"/>
        <w:ind w:firstLine="420"/>
      </w:pPr>
      <w:r>
        <w:rPr>
          <w:rFonts w:hint="eastAsia"/>
        </w:rPr>
        <w:t>本</w:t>
      </w:r>
      <w:r>
        <w:rPr>
          <w:rFonts w:hint="eastAsia"/>
          <w:lang w:eastAsia="zh-CN"/>
        </w:rPr>
        <w:t>文件</w:t>
      </w:r>
      <w:r>
        <w:rPr>
          <w:rFonts w:hint="eastAsia"/>
        </w:rPr>
        <w:t>由广西物品编码与标准化促进会归口。</w:t>
      </w:r>
    </w:p>
    <w:p w14:paraId="51B19B23">
      <w:pPr>
        <w:pStyle w:val="58"/>
        <w:ind w:firstLine="420"/>
      </w:pPr>
      <w:r>
        <w:rPr>
          <w:rFonts w:hint="eastAsia"/>
        </w:rPr>
        <w:t>本</w:t>
      </w:r>
      <w:r>
        <w:rPr>
          <w:rFonts w:hint="eastAsia"/>
          <w:lang w:eastAsia="zh-CN"/>
        </w:rPr>
        <w:t>文件</w:t>
      </w:r>
      <w:r>
        <w:rPr>
          <w:rFonts w:hint="eastAsia"/>
        </w:rPr>
        <w:t>起草单位：</w:t>
      </w:r>
      <w:r>
        <w:rPr>
          <w:rFonts w:hint="eastAsia"/>
          <w:lang w:val="zh-CN" w:eastAsia="zh-CN"/>
        </w:rPr>
        <w:t>广西—东盟食品检验检测中心[国家市场监督管理总局技术创新中心（天然香料香精）]、岛津企业管理（中国）有限公司</w:t>
      </w:r>
      <w:r>
        <w:rPr>
          <w:rFonts w:hint="eastAsia"/>
        </w:rPr>
        <w:t>、广西壮族自治区粮油质量检验中心、南宁市食品药品检验所、广西壮族自治区产品质量检验研究院</w:t>
      </w:r>
      <w:r>
        <w:rPr>
          <w:rFonts w:hint="eastAsia"/>
          <w:lang w:eastAsia="zh-CN"/>
        </w:rPr>
        <w:t>、广西农业职业技术大学、</w:t>
      </w:r>
      <w:r>
        <w:rPr>
          <w:rFonts w:hint="eastAsia"/>
        </w:rPr>
        <w:t>广西壮族自治区产品质量检验研究院</w:t>
      </w:r>
      <w:r>
        <w:rPr>
          <w:rFonts w:hint="eastAsia"/>
          <w:lang w:eastAsia="zh-CN"/>
        </w:rPr>
        <w:t>、</w:t>
      </w:r>
      <w:r>
        <w:rPr>
          <w:rFonts w:hint="eastAsia"/>
        </w:rPr>
        <w:t>钦州市检验检测中心。</w:t>
      </w:r>
    </w:p>
    <w:p w14:paraId="4F39C02B">
      <w:pPr>
        <w:pStyle w:val="58"/>
        <w:ind w:firstLine="420"/>
      </w:pPr>
      <w:r>
        <w:rPr>
          <w:rFonts w:hint="eastAsia"/>
        </w:rPr>
        <w:t>本</w:t>
      </w:r>
      <w:r>
        <w:rPr>
          <w:rFonts w:hint="eastAsia"/>
          <w:lang w:eastAsia="zh-CN"/>
        </w:rPr>
        <w:t>文件</w:t>
      </w:r>
      <w:r>
        <w:rPr>
          <w:rFonts w:hint="eastAsia"/>
        </w:rPr>
        <w:t>主要起草人：昝川南</w:t>
      </w:r>
      <w:r>
        <w:rPr>
          <w:rFonts w:hint="eastAsia"/>
          <w:lang w:eastAsia="zh-CN"/>
        </w:rPr>
        <w:t>、</w:t>
      </w:r>
      <w:r>
        <w:rPr>
          <w:rFonts w:hint="eastAsia"/>
        </w:rPr>
        <w:t>冯婷</w:t>
      </w:r>
      <w:r>
        <w:rPr>
          <w:rFonts w:hint="eastAsia"/>
          <w:lang w:eastAsia="zh-CN"/>
        </w:rPr>
        <w:t>、</w:t>
      </w:r>
      <w:r>
        <w:rPr>
          <w:rFonts w:hint="eastAsia"/>
        </w:rPr>
        <w:t>谭文慧</w:t>
      </w:r>
      <w:r>
        <w:rPr>
          <w:rFonts w:hint="eastAsia"/>
          <w:lang w:eastAsia="zh-CN"/>
        </w:rPr>
        <w:t>、</w:t>
      </w:r>
      <w:r>
        <w:rPr>
          <w:rFonts w:hint="eastAsia"/>
        </w:rPr>
        <w:t>朱留超</w:t>
      </w:r>
      <w:r>
        <w:rPr>
          <w:rFonts w:hint="eastAsia"/>
          <w:lang w:eastAsia="zh-CN"/>
        </w:rPr>
        <w:t>、</w:t>
      </w:r>
      <w:r>
        <w:rPr>
          <w:rFonts w:hint="eastAsia"/>
        </w:rPr>
        <w:t>施杨管</w:t>
      </w:r>
      <w:r>
        <w:rPr>
          <w:rFonts w:hint="eastAsia"/>
          <w:lang w:eastAsia="zh-CN"/>
        </w:rPr>
        <w:t>、</w:t>
      </w:r>
      <w:r>
        <w:rPr>
          <w:rFonts w:hint="eastAsia"/>
        </w:rPr>
        <w:t>刘常凯</w:t>
      </w:r>
      <w:r>
        <w:rPr>
          <w:rFonts w:hint="eastAsia"/>
          <w:lang w:eastAsia="zh-CN"/>
        </w:rPr>
        <w:t>、</w:t>
      </w:r>
      <w:r>
        <w:rPr>
          <w:rFonts w:hint="eastAsia"/>
        </w:rPr>
        <w:t>万国越</w:t>
      </w:r>
      <w:r>
        <w:rPr>
          <w:rFonts w:hint="eastAsia"/>
          <w:lang w:eastAsia="zh-CN"/>
        </w:rPr>
        <w:t>、</w:t>
      </w:r>
      <w:r>
        <w:rPr>
          <w:rFonts w:hint="eastAsia"/>
        </w:rPr>
        <w:t>伍先绍</w:t>
      </w:r>
      <w:r>
        <w:rPr>
          <w:rFonts w:hint="eastAsia"/>
          <w:lang w:eastAsia="zh-CN"/>
        </w:rPr>
        <w:t>、</w:t>
      </w:r>
      <w:r>
        <w:rPr>
          <w:rFonts w:hint="eastAsia"/>
        </w:rPr>
        <w:t>覃弘毅</w:t>
      </w:r>
      <w:r>
        <w:rPr>
          <w:rFonts w:hint="eastAsia"/>
          <w:lang w:eastAsia="zh-CN"/>
        </w:rPr>
        <w:t>、</w:t>
      </w:r>
      <w:r>
        <w:rPr>
          <w:rFonts w:hint="eastAsia"/>
        </w:rPr>
        <w:t>彭海亮</w:t>
      </w:r>
      <w:r>
        <w:rPr>
          <w:rFonts w:hint="eastAsia"/>
          <w:lang w:eastAsia="zh-CN"/>
        </w:rPr>
        <w:t>、</w:t>
      </w:r>
      <w:r>
        <w:rPr>
          <w:rFonts w:hint="eastAsia"/>
        </w:rPr>
        <w:t>王海波</w:t>
      </w:r>
      <w:r>
        <w:rPr>
          <w:rFonts w:hint="eastAsia"/>
          <w:lang w:eastAsia="zh-CN"/>
        </w:rPr>
        <w:t>、</w:t>
      </w:r>
      <w:r>
        <w:rPr>
          <w:rFonts w:hint="eastAsia"/>
        </w:rPr>
        <w:t>李晓东</w:t>
      </w:r>
      <w:r>
        <w:rPr>
          <w:rFonts w:hint="eastAsia"/>
          <w:lang w:eastAsia="zh-CN"/>
        </w:rPr>
        <w:t>、</w:t>
      </w:r>
      <w:r>
        <w:rPr>
          <w:rFonts w:hint="eastAsia"/>
        </w:rPr>
        <w:t>何敏</w:t>
      </w:r>
      <w:r>
        <w:rPr>
          <w:rFonts w:hint="eastAsia"/>
          <w:lang w:eastAsia="zh-CN"/>
        </w:rPr>
        <w:t>、</w:t>
      </w:r>
      <w:r>
        <w:rPr>
          <w:rFonts w:hint="eastAsia"/>
        </w:rPr>
        <w:t>杨方方</w:t>
      </w:r>
      <w:r>
        <w:rPr>
          <w:rFonts w:hint="eastAsia"/>
          <w:lang w:eastAsia="zh-CN"/>
        </w:rPr>
        <w:t>、</w:t>
      </w:r>
      <w:r>
        <w:rPr>
          <w:rFonts w:hint="eastAsia"/>
        </w:rPr>
        <w:t>陆柔</w:t>
      </w:r>
      <w:r>
        <w:rPr>
          <w:rFonts w:hint="eastAsia"/>
          <w:lang w:eastAsia="zh-CN"/>
        </w:rPr>
        <w:t>、</w:t>
      </w:r>
      <w:r>
        <w:rPr>
          <w:rFonts w:hint="eastAsia"/>
        </w:rPr>
        <w:t>黄冬</w:t>
      </w:r>
      <w:r>
        <w:rPr>
          <w:rFonts w:hint="eastAsia"/>
          <w:lang w:eastAsia="zh-CN"/>
        </w:rPr>
        <w:t>、</w:t>
      </w:r>
      <w:r>
        <w:rPr>
          <w:rFonts w:hint="eastAsia"/>
        </w:rPr>
        <w:t>杨晓春</w:t>
      </w:r>
      <w:r>
        <w:rPr>
          <w:rFonts w:hint="eastAsia"/>
          <w:lang w:eastAsia="zh-CN"/>
        </w:rPr>
        <w:t>、</w:t>
      </w:r>
      <w:r>
        <w:rPr>
          <w:rFonts w:hint="eastAsia"/>
        </w:rPr>
        <w:t>辛丽娜</w:t>
      </w:r>
      <w:r>
        <w:rPr>
          <w:rFonts w:hint="eastAsia"/>
          <w:lang w:eastAsia="zh-CN"/>
        </w:rPr>
        <w:t>、</w:t>
      </w:r>
      <w:r>
        <w:rPr>
          <w:rFonts w:hint="eastAsia"/>
        </w:rPr>
        <w:t>杨丽雯</w:t>
      </w:r>
      <w:r>
        <w:rPr>
          <w:rFonts w:hint="eastAsia"/>
          <w:lang w:eastAsia="zh-CN"/>
        </w:rPr>
        <w:t>、</w:t>
      </w:r>
      <w:r>
        <w:rPr>
          <w:rFonts w:hint="eastAsia"/>
        </w:rPr>
        <w:t>杨黎</w:t>
      </w:r>
      <w:r>
        <w:rPr>
          <w:rFonts w:hint="eastAsia"/>
          <w:lang w:eastAsia="zh-CN"/>
        </w:rPr>
        <w:t>、</w:t>
      </w:r>
      <w:r>
        <w:rPr>
          <w:rFonts w:hint="eastAsia"/>
        </w:rPr>
        <w:t>黄昊</w:t>
      </w:r>
      <w:r>
        <w:rPr>
          <w:rFonts w:hint="eastAsia"/>
          <w:lang w:eastAsia="zh-CN"/>
        </w:rPr>
        <w:t>、</w:t>
      </w:r>
      <w:r>
        <w:rPr>
          <w:rFonts w:hint="eastAsia"/>
        </w:rPr>
        <w:t>汪修意</w:t>
      </w:r>
      <w:r>
        <w:rPr>
          <w:rFonts w:hint="eastAsia"/>
          <w:lang w:eastAsia="zh-CN"/>
        </w:rPr>
        <w:t>、</w:t>
      </w:r>
      <w:r>
        <w:rPr>
          <w:rFonts w:hint="eastAsia"/>
        </w:rPr>
        <w:t>董又滋</w:t>
      </w:r>
      <w:r>
        <w:rPr>
          <w:rFonts w:hint="eastAsia"/>
          <w:lang w:eastAsia="zh-CN"/>
        </w:rPr>
        <w:t>、</w:t>
      </w:r>
      <w:r>
        <w:rPr>
          <w:rFonts w:hint="eastAsia"/>
        </w:rPr>
        <w:t>韦罗璐</w:t>
      </w:r>
      <w:r>
        <w:rPr>
          <w:rFonts w:hint="eastAsia"/>
          <w:lang w:eastAsia="zh-CN"/>
        </w:rPr>
        <w:t>、</w:t>
      </w:r>
      <w:r>
        <w:rPr>
          <w:rFonts w:hint="eastAsia"/>
        </w:rPr>
        <w:t>韦宇杰</w:t>
      </w:r>
      <w:r>
        <w:rPr>
          <w:rFonts w:hint="eastAsia"/>
          <w:lang w:eastAsia="zh-CN"/>
        </w:rPr>
        <w:t>、</w:t>
      </w:r>
      <w:r>
        <w:rPr>
          <w:rFonts w:hint="eastAsia"/>
        </w:rPr>
        <w:t>杨慧杰</w:t>
      </w:r>
      <w:r>
        <w:rPr>
          <w:rFonts w:hint="eastAsia"/>
          <w:lang w:eastAsia="zh-CN"/>
        </w:rPr>
        <w:t>、</w:t>
      </w:r>
      <w:r>
        <w:rPr>
          <w:rFonts w:hint="eastAsia"/>
        </w:rPr>
        <w:t>韦凯春。</w:t>
      </w:r>
    </w:p>
    <w:p w14:paraId="22AD33CD">
      <w:pPr>
        <w:pStyle w:val="58"/>
        <w:ind w:firstLine="420"/>
      </w:pPr>
    </w:p>
    <w:p w14:paraId="57E3E007">
      <w:pPr>
        <w:pStyle w:val="58"/>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pgNumType w:fmt="upperRoman"/>
          <w:cols w:space="425" w:num="1"/>
          <w:formProt w:val="0"/>
          <w:docGrid w:linePitch="312" w:charSpace="0"/>
        </w:sectPr>
      </w:pPr>
    </w:p>
    <w:bookmarkEnd w:id="25"/>
    <w:p w14:paraId="58EF9403">
      <w:pPr>
        <w:spacing w:line="20" w:lineRule="exact"/>
        <w:jc w:val="center"/>
        <w:rPr>
          <w:rFonts w:ascii="黑体" w:hAnsi="黑体" w:eastAsia="黑体"/>
          <w:sz w:val="32"/>
          <w:szCs w:val="32"/>
        </w:rPr>
      </w:pPr>
      <w:bookmarkStart w:id="26" w:name="BookMark4"/>
    </w:p>
    <w:p w14:paraId="4FED6664">
      <w:pPr>
        <w:spacing w:line="20" w:lineRule="exact"/>
        <w:jc w:val="center"/>
        <w:rPr>
          <w:rFonts w:ascii="黑体" w:hAnsi="黑体" w:eastAsia="黑体"/>
          <w:sz w:val="32"/>
          <w:szCs w:val="32"/>
        </w:rPr>
      </w:pPr>
    </w:p>
    <w:sdt>
      <w:sdtPr>
        <w:tag w:val="NEW_STAND_NAME"/>
        <w:id w:val="595910757"/>
        <w:lock w:val="sdtLocked"/>
        <w:placeholder>
          <w:docPart w:val="40BAD1D096DA435C958A3CC3CE42E1DA"/>
        </w:placeholder>
      </w:sdtPr>
      <w:sdtContent>
        <w:p w14:paraId="70A70949">
          <w:pPr>
            <w:pStyle w:val="179"/>
          </w:pPr>
          <w:bookmarkStart w:id="27" w:name="NEW_STAND_NAME"/>
          <w:r>
            <w:rPr>
              <w:rFonts w:hint="eastAsia"/>
              <w:lang w:eastAsia="zh-CN"/>
            </w:rPr>
            <w:t>大米中硒形态的测定 高效液相色谱-电感耦合等离子体质谱法</w:t>
          </w:r>
          <w:bookmarkEnd w:id="27"/>
        </w:p>
      </w:sdtContent>
    </w:sdt>
    <w:p w14:paraId="57254EB4">
      <w:pPr>
        <w:pStyle w:val="106"/>
        <w:bidi w:val="0"/>
      </w:pPr>
      <w:bookmarkStart w:id="28" w:name="_Toc26648465"/>
      <w:bookmarkStart w:id="29" w:name="_Toc24884218"/>
      <w:bookmarkStart w:id="30" w:name="_Toc24884211"/>
      <w:bookmarkStart w:id="31" w:name="_Toc26718930"/>
      <w:bookmarkStart w:id="32" w:name="_Toc97192964"/>
      <w:bookmarkStart w:id="33" w:name="_Toc17233325"/>
      <w:bookmarkStart w:id="34" w:name="_Toc26986771"/>
      <w:bookmarkStart w:id="35" w:name="_Toc17233333"/>
      <w:bookmarkStart w:id="36" w:name="_Toc150015666"/>
      <w:bookmarkStart w:id="37" w:name="_Toc26986530"/>
      <w:bookmarkStart w:id="38" w:name="_Toc150014766"/>
      <w:bookmarkStart w:id="39" w:name="_Toc8659"/>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0E883EC3">
      <w:pPr>
        <w:pStyle w:val="58"/>
        <w:bidi w:val="0"/>
        <w:rPr>
          <w:rFonts w:hint="eastAsia"/>
          <w:lang w:eastAsia="zh-CN"/>
        </w:rPr>
      </w:pPr>
      <w:bookmarkStart w:id="40" w:name="_Toc150015667"/>
      <w:bookmarkStart w:id="41" w:name="_Toc17233326"/>
      <w:bookmarkStart w:id="42" w:name="_Toc26718931"/>
      <w:bookmarkStart w:id="43" w:name="_Toc150014767"/>
      <w:bookmarkStart w:id="44" w:name="_Toc26986531"/>
      <w:bookmarkStart w:id="45" w:name="_Toc97192965"/>
      <w:bookmarkStart w:id="46" w:name="_Toc26648466"/>
      <w:bookmarkStart w:id="47" w:name="_Toc26986772"/>
      <w:bookmarkStart w:id="48" w:name="_Toc17233334"/>
      <w:bookmarkStart w:id="49" w:name="_Toc24884219"/>
      <w:bookmarkStart w:id="50" w:name="_Toc24884212"/>
      <w:r>
        <w:rPr>
          <w:rFonts w:hint="eastAsia"/>
          <w:lang w:eastAsia="zh-CN"/>
        </w:rPr>
        <w:t>本文件规定了使用高效液相色谱-电感耦合等离子体质谱法测定大米中硒形态的方法。</w:t>
      </w:r>
    </w:p>
    <w:p w14:paraId="5E1BACB4">
      <w:pPr>
        <w:pStyle w:val="58"/>
        <w:bidi w:val="0"/>
      </w:pPr>
      <w:r>
        <w:rPr>
          <w:rFonts w:hint="eastAsia"/>
          <w:lang w:eastAsia="zh-CN"/>
        </w:rPr>
        <w:t>本文件适用于大米中各硒形态含量的测定。</w:t>
      </w:r>
    </w:p>
    <w:p w14:paraId="61EA3019">
      <w:pPr>
        <w:pStyle w:val="106"/>
        <w:bidi w:val="0"/>
      </w:pPr>
      <w:bookmarkStart w:id="51" w:name="_Toc6830"/>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5FE49046297C4A68A6C5EFDE3F0277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A4FA7C3">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C077CC">
      <w:pPr>
        <w:pStyle w:val="58"/>
        <w:ind w:firstLine="420"/>
      </w:pPr>
      <w:r>
        <w:rPr>
          <w:rFonts w:hint="eastAsia"/>
        </w:rPr>
        <w:t>GB/T 1354  大米</w:t>
      </w:r>
    </w:p>
    <w:p w14:paraId="4668DD52">
      <w:pPr>
        <w:pStyle w:val="58"/>
        <w:ind w:firstLine="420"/>
      </w:pPr>
      <w:r>
        <w:rPr>
          <w:rFonts w:hint="eastAsia"/>
        </w:rPr>
        <w:t>GB/T 5491  粮食、油料检验  扦样、分样法</w:t>
      </w:r>
    </w:p>
    <w:p w14:paraId="05AE12F3">
      <w:pPr>
        <w:pStyle w:val="58"/>
        <w:ind w:firstLine="420"/>
      </w:pPr>
      <w:r>
        <w:rPr>
          <w:rFonts w:hint="eastAsia"/>
        </w:rPr>
        <w:t>GB/T 6682  分析实验室用水规格和试验方法</w:t>
      </w:r>
    </w:p>
    <w:p w14:paraId="4BF8A2B1">
      <w:pPr>
        <w:pStyle w:val="106"/>
        <w:bidi w:val="0"/>
      </w:pPr>
      <w:bookmarkStart w:id="52" w:name="_Toc97192966"/>
      <w:bookmarkStart w:id="53" w:name="_Toc150014768"/>
      <w:bookmarkStart w:id="54" w:name="_Toc150015668"/>
      <w:bookmarkStart w:id="55" w:name="_Toc746"/>
      <w:r>
        <w:rPr>
          <w:rFonts w:hint="eastAsia"/>
        </w:rPr>
        <w:t>术语和定义</w:t>
      </w:r>
      <w:bookmarkEnd w:id="52"/>
      <w:bookmarkEnd w:id="53"/>
      <w:bookmarkEnd w:id="54"/>
      <w:bookmarkEnd w:id="55"/>
    </w:p>
    <w:p w14:paraId="102C2D8B">
      <w:pPr>
        <w:pStyle w:val="58"/>
        <w:ind w:firstLine="420"/>
        <w:rPr>
          <w:u w:val="single"/>
        </w:rPr>
      </w:pPr>
      <w:bookmarkStart w:id="56" w:name="_Toc26986532"/>
      <w:bookmarkEnd w:id="56"/>
      <w:r>
        <w:rPr>
          <w:rFonts w:hint="eastAsia"/>
        </w:rPr>
        <w:t>GB/T 1354</w:t>
      </w:r>
      <w:sdt>
        <w:sdtPr>
          <w:id w:val="-1909835108"/>
          <w:placeholder>
            <w:docPart w:val="82FAD4B12AFB42FD997383B282BB9F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u w:val="single"/>
          </w:rPr>
        </w:sdtEndPr>
        <w:sdtContent>
          <w:r>
            <w:t>界定的术语和定义适用于本文件。</w:t>
          </w:r>
        </w:sdtContent>
      </w:sdt>
    </w:p>
    <w:p w14:paraId="2B737E6A">
      <w:pPr>
        <w:pStyle w:val="106"/>
        <w:bidi w:val="0"/>
      </w:pPr>
      <w:bookmarkStart w:id="57" w:name="_Toc27260"/>
      <w:r>
        <w:rPr>
          <w:rFonts w:hint="eastAsia"/>
        </w:rPr>
        <w:t>原理</w:t>
      </w:r>
      <w:bookmarkEnd w:id="57"/>
    </w:p>
    <w:p w14:paraId="73DB20F7">
      <w:pPr>
        <w:pStyle w:val="58"/>
        <w:bidi w:val="0"/>
      </w:pPr>
      <w:r>
        <w:t>试样中的硒化合物经Tris-HCl缓冲溶液（pH 7.5）和复合酶解溶液提取后，取离心后的上清液，采用高效液相色谱-电感耦合等离子体质谱仪（HPLC-ICP-MS）进行测定。使用硒的各形态标准物质配制标准溶液进行校准，并采用外标法定量分析。</w:t>
      </w:r>
    </w:p>
    <w:p w14:paraId="38EF285C">
      <w:pPr>
        <w:pStyle w:val="106"/>
        <w:bidi w:val="0"/>
      </w:pPr>
      <w:bookmarkStart w:id="58" w:name="_Toc149582223"/>
      <w:bookmarkStart w:id="59" w:name="_Toc150015669"/>
      <w:bookmarkStart w:id="60" w:name="_Toc150014769"/>
      <w:bookmarkStart w:id="61" w:name="_Toc149581287"/>
      <w:bookmarkStart w:id="62" w:name="_Toc18663"/>
      <w:r>
        <w:rPr>
          <w:rFonts w:hint="eastAsia"/>
        </w:rPr>
        <w:t>试剂和材料</w:t>
      </w:r>
      <w:bookmarkEnd w:id="58"/>
      <w:bookmarkEnd w:id="59"/>
      <w:bookmarkEnd w:id="60"/>
      <w:bookmarkEnd w:id="61"/>
      <w:bookmarkEnd w:id="62"/>
    </w:p>
    <w:p w14:paraId="4E4050F3">
      <w:pPr>
        <w:pStyle w:val="58"/>
        <w:bidi w:val="0"/>
      </w:pPr>
      <w:r>
        <w:rPr>
          <w:rFonts w:hint="eastAsia"/>
        </w:rPr>
        <w:t>除另有规定外，所有试剂均为分析纯或生化试剂。实验用水符合GB/T 6682的要求。</w:t>
      </w:r>
    </w:p>
    <w:p w14:paraId="33B43BFF">
      <w:pPr>
        <w:pStyle w:val="107"/>
        <w:keepNext w:val="0"/>
        <w:keepLines w:val="0"/>
        <w:pageBreakBefore w:val="0"/>
        <w:widowControl/>
        <w:kinsoku/>
        <w:wordWrap/>
        <w:overflowPunct/>
        <w:topLinePunct w:val="0"/>
        <w:autoSpaceDE/>
        <w:autoSpaceDN/>
        <w:bidi w:val="0"/>
        <w:adjustRightInd/>
        <w:snapToGrid/>
        <w:ind w:left="0"/>
        <w:textAlignment w:val="auto"/>
      </w:pPr>
      <w:bookmarkStart w:id="63" w:name="_Toc19570"/>
      <w:r>
        <w:rPr>
          <w:rFonts w:hint="eastAsia"/>
        </w:rPr>
        <w:t>试剂</w:t>
      </w:r>
      <w:bookmarkEnd w:id="63"/>
    </w:p>
    <w:p w14:paraId="68F299B9">
      <w:pPr>
        <w:pStyle w:val="176"/>
        <w:bidi w:val="0"/>
        <w:ind w:left="851" w:leftChars="0" w:hanging="426" w:firstLineChars="0"/>
      </w:pPr>
      <w:r>
        <w:t>盐酸（HCl）（含量：36.0％～38.0％）</w:t>
      </w:r>
      <w:r>
        <w:rPr>
          <w:rFonts w:hint="eastAsia"/>
          <w:lang w:eastAsia="zh-CN"/>
        </w:rPr>
        <w:t>；</w:t>
      </w:r>
    </w:p>
    <w:p w14:paraId="6287A79A">
      <w:pPr>
        <w:pStyle w:val="176"/>
        <w:bidi w:val="0"/>
        <w:ind w:left="851" w:leftChars="0" w:hanging="426" w:firstLineChars="0"/>
      </w:pPr>
      <w:r>
        <w:t>蛋白酶K</w:t>
      </w:r>
      <w:r>
        <w:rPr>
          <w:rFonts w:hint="eastAsia"/>
          <w:lang w:eastAsia="zh-CN"/>
        </w:rPr>
        <w:t>；</w:t>
      </w:r>
    </w:p>
    <w:p w14:paraId="50B73F89">
      <w:pPr>
        <w:pStyle w:val="176"/>
        <w:bidi w:val="0"/>
        <w:ind w:left="851" w:leftChars="0" w:hanging="426" w:firstLineChars="0"/>
      </w:pPr>
      <w:r>
        <w:t>灰色链霉菌XIV</w:t>
      </w:r>
      <w:r>
        <w:rPr>
          <w:rFonts w:hint="eastAsia"/>
          <w:lang w:eastAsia="zh-CN"/>
        </w:rPr>
        <w:t>；</w:t>
      </w:r>
    </w:p>
    <w:p w14:paraId="4BBDAF05">
      <w:pPr>
        <w:pStyle w:val="176"/>
        <w:bidi w:val="0"/>
        <w:ind w:left="851" w:leftChars="0" w:hanging="426" w:firstLineChars="0"/>
      </w:pPr>
      <w:r>
        <w:t>Tris盐酸盐（NH2C(CH2OH)3·HCl）</w:t>
      </w:r>
      <w:r>
        <w:rPr>
          <w:rFonts w:hint="eastAsia"/>
          <w:lang w:eastAsia="zh-CN"/>
        </w:rPr>
        <w:t>；</w:t>
      </w:r>
    </w:p>
    <w:p w14:paraId="6723A8DE">
      <w:pPr>
        <w:pStyle w:val="176"/>
        <w:bidi w:val="0"/>
        <w:ind w:left="851" w:leftChars="0" w:hanging="426" w:firstLineChars="0"/>
      </w:pPr>
      <w:r>
        <w:t>甲基-硒代半胱氨酸标准溶液，ρ（MeSeCys）=100 mg/L</w:t>
      </w:r>
      <w:r>
        <w:rPr>
          <w:rFonts w:hint="eastAsia"/>
          <w:lang w:eastAsia="zh-CN"/>
        </w:rPr>
        <w:t>；</w:t>
      </w:r>
    </w:p>
    <w:p w14:paraId="603E8A97">
      <w:pPr>
        <w:pStyle w:val="176"/>
        <w:bidi w:val="0"/>
        <w:ind w:left="851" w:leftChars="0" w:hanging="426" w:firstLineChars="0"/>
      </w:pPr>
      <w:r>
        <w:t>硒代胱氨酸标准溶液，ρ（SeCys2）=100 mg/L</w:t>
      </w:r>
      <w:r>
        <w:rPr>
          <w:rFonts w:hint="eastAsia"/>
          <w:lang w:eastAsia="zh-CN"/>
        </w:rPr>
        <w:t>；</w:t>
      </w:r>
    </w:p>
    <w:p w14:paraId="6D0796F9">
      <w:pPr>
        <w:pStyle w:val="176"/>
        <w:bidi w:val="0"/>
        <w:ind w:left="851" w:leftChars="0" w:hanging="426" w:firstLineChars="0"/>
      </w:pPr>
      <w:r>
        <w:t>硒代蛋氨酸标准溶液，ρ（SeMet）=100 mg/L</w:t>
      </w:r>
      <w:r>
        <w:rPr>
          <w:rFonts w:hint="eastAsia"/>
          <w:lang w:eastAsia="zh-CN"/>
        </w:rPr>
        <w:t>；</w:t>
      </w:r>
    </w:p>
    <w:p w14:paraId="60750782">
      <w:pPr>
        <w:pStyle w:val="176"/>
        <w:bidi w:val="0"/>
        <w:ind w:left="851" w:leftChars="0" w:hanging="426" w:firstLineChars="0"/>
      </w:pPr>
      <w:r>
        <w:t>硒代乙硫氨酸标准溶液，ρ（SeEt）=100 mg/L</w:t>
      </w:r>
      <w:r>
        <w:rPr>
          <w:rFonts w:hint="eastAsia"/>
          <w:lang w:eastAsia="zh-CN"/>
        </w:rPr>
        <w:t>；</w:t>
      </w:r>
    </w:p>
    <w:p w14:paraId="3E40CE26">
      <w:pPr>
        <w:pStyle w:val="176"/>
        <w:bidi w:val="0"/>
        <w:ind w:left="851" w:leftChars="0" w:hanging="426" w:firstLineChars="0"/>
      </w:pPr>
      <w:r>
        <w:t>亚硒酸根标准溶液，ρ（Se(Ⅳ)）=100 mg/L</w:t>
      </w:r>
      <w:r>
        <w:rPr>
          <w:rFonts w:hint="eastAsia"/>
          <w:lang w:eastAsia="zh-CN"/>
        </w:rPr>
        <w:t>；</w:t>
      </w:r>
    </w:p>
    <w:p w14:paraId="047F94FD">
      <w:pPr>
        <w:pStyle w:val="176"/>
        <w:bidi w:val="0"/>
        <w:ind w:left="851" w:leftChars="0" w:hanging="426" w:firstLineChars="0"/>
      </w:pPr>
      <w:r>
        <w:t>硒酸根标准溶液，ρ（Se(Ⅵ)）=100 mg/L</w:t>
      </w:r>
      <w:r>
        <w:rPr>
          <w:rFonts w:hint="eastAsia"/>
          <w:lang w:eastAsia="zh-CN"/>
        </w:rPr>
        <w:t>。</w:t>
      </w:r>
    </w:p>
    <w:p w14:paraId="7F81CBF1">
      <w:pPr>
        <w:pStyle w:val="107"/>
        <w:keepNext w:val="0"/>
        <w:keepLines w:val="0"/>
        <w:pageBreakBefore w:val="0"/>
        <w:widowControl/>
        <w:kinsoku/>
        <w:wordWrap/>
        <w:overflowPunct/>
        <w:topLinePunct w:val="0"/>
        <w:autoSpaceDE/>
        <w:autoSpaceDN/>
        <w:bidi w:val="0"/>
        <w:adjustRightInd/>
        <w:snapToGrid/>
        <w:ind w:left="0"/>
        <w:textAlignment w:val="auto"/>
      </w:pPr>
      <w:bookmarkStart w:id="64" w:name="_Toc2785"/>
      <w:r>
        <w:rPr>
          <w:rFonts w:hint="eastAsia"/>
        </w:rPr>
        <w:t>试剂的配制</w:t>
      </w:r>
      <w:bookmarkEnd w:id="64"/>
    </w:p>
    <w:p w14:paraId="3D628302">
      <w:pPr>
        <w:pStyle w:val="58"/>
        <w:bidi w:val="0"/>
      </w:pPr>
      <w:r>
        <w:rPr>
          <w:rFonts w:hint="eastAsia"/>
        </w:rPr>
        <w:t>Tris-HCl缓冲液（pH=7.5）</w:t>
      </w:r>
    </w:p>
    <w:p w14:paraId="0D17F6EA">
      <w:pPr>
        <w:pStyle w:val="58"/>
        <w:bidi w:val="0"/>
      </w:pPr>
      <w:r>
        <w:t>准确称取121 g Tris盐酸盐，加入600 mL超纯水中溶解，混匀后使用盐酸调节溶液pH至7.5，最后用超纯水定容至1 L。</w:t>
      </w:r>
    </w:p>
    <w:p w14:paraId="2488B095">
      <w:pPr>
        <w:pStyle w:val="67"/>
        <w:bidi w:val="0"/>
      </w:pPr>
      <w:r>
        <w:rPr>
          <w:rFonts w:hint="eastAsia"/>
        </w:rPr>
        <w:t>复合酶解液</w:t>
      </w:r>
    </w:p>
    <w:p w14:paraId="196CFC08">
      <w:pPr>
        <w:pStyle w:val="58"/>
        <w:bidi w:val="0"/>
      </w:pPr>
      <w:r>
        <w:t>准确称取蛋白酶K和灰色链霉菌XIV各1.0 g，置于100 mL容量瓶中，使用超纯水定容至刻度，混匀，制备成含蛋白酶K和灰色链霉菌XIV各10 mg/mL的复合酶解液。</w:t>
      </w:r>
    </w:p>
    <w:p w14:paraId="6F0186C3">
      <w:pPr>
        <w:pStyle w:val="67"/>
        <w:bidi w:val="0"/>
      </w:pPr>
      <w:r>
        <w:rPr>
          <w:rFonts w:hint="eastAsia"/>
        </w:rPr>
        <w:t>硒标准储备溶液</w:t>
      </w:r>
    </w:p>
    <w:p w14:paraId="40F5FC65">
      <w:pPr>
        <w:pStyle w:val="58"/>
        <w:bidi w:val="0"/>
      </w:pPr>
      <w:r>
        <w:t>准确称取适量甲基-硒代半胱氨酸（MeSeCys）、硒代胱氨酸（SeCys₂）、硒代蛋氨酸（SeMet）、硒代乙硫氨酸（SeEt）、亚硒酸根标准溶液（Se(Ⅳ)）和硒酸根标准溶液（Se(Ⅵ)）6种标准物质，置于同一10 mL容量瓶中。以超纯水溶解并稀释至刻度，制备成浓度为1 mg/L（以Se计）的标准储备溶液。分别准确量取上述标准储备溶液0.010 mL、 0.025 mL、0.05 mL、0.1 mL、0.25 mL、0.5 mL、1.0 mL、2.0 mL，转移至10 mL容量瓶中，以超纯水定容至刻度，制备成硒标准系列工作溶液，其理论浓度依次为1 μg/L、2.5 μg/L、5 μg/L、10μg/L、 25 μg/L、50 μg/L、100 μg/L、200 μg/L。</w:t>
      </w:r>
    </w:p>
    <w:p w14:paraId="467594A1">
      <w:pPr>
        <w:pStyle w:val="107"/>
        <w:keepNext w:val="0"/>
        <w:keepLines w:val="0"/>
        <w:pageBreakBefore w:val="0"/>
        <w:widowControl/>
        <w:kinsoku/>
        <w:wordWrap/>
        <w:overflowPunct/>
        <w:topLinePunct w:val="0"/>
        <w:autoSpaceDE/>
        <w:autoSpaceDN/>
        <w:bidi w:val="0"/>
        <w:adjustRightInd/>
        <w:snapToGrid/>
        <w:ind w:left="0"/>
        <w:textAlignment w:val="auto"/>
      </w:pPr>
      <w:bookmarkStart w:id="65" w:name="_Toc17426"/>
      <w:r>
        <w:rPr>
          <w:rFonts w:hint="eastAsia"/>
        </w:rPr>
        <w:t>设备</w:t>
      </w:r>
      <w:bookmarkEnd w:id="65"/>
    </w:p>
    <w:p w14:paraId="6768CF32">
      <w:pPr>
        <w:pStyle w:val="58"/>
        <w:bidi w:val="0"/>
        <w:rPr>
          <w:rFonts w:ascii="Times New Roman"/>
          <w:szCs w:val="21"/>
        </w:rPr>
      </w:pPr>
      <w:bookmarkStart w:id="66" w:name="_Toc150014773"/>
      <w:bookmarkStart w:id="67" w:name="_Toc149582227"/>
      <w:bookmarkStart w:id="68" w:name="_Toc150015673"/>
      <w:bookmarkStart w:id="69" w:name="_Toc149581291"/>
      <w:r>
        <w:t>使用本标准进行富硒大米中硒形态的分析，所用仪器设备包括：</w:t>
      </w:r>
    </w:p>
    <w:bookmarkEnd w:id="66"/>
    <w:bookmarkEnd w:id="67"/>
    <w:bookmarkEnd w:id="68"/>
    <w:bookmarkEnd w:id="69"/>
    <w:p w14:paraId="46C8A6B0">
      <w:pPr>
        <w:pStyle w:val="176"/>
        <w:numPr>
          <w:numId w:val="32"/>
        </w:numPr>
        <w:bidi w:val="0"/>
        <w:ind w:left="851" w:leftChars="0" w:hanging="426" w:firstLineChars="0"/>
      </w:pPr>
      <w:r>
        <w:t>高效液相色谱仪；</w:t>
      </w:r>
    </w:p>
    <w:p w14:paraId="08C37EE0">
      <w:pPr>
        <w:pStyle w:val="176"/>
        <w:numPr>
          <w:numId w:val="32"/>
        </w:numPr>
        <w:bidi w:val="0"/>
        <w:ind w:left="851" w:leftChars="0" w:hanging="426" w:firstLineChars="0"/>
      </w:pPr>
      <w:r>
        <w:t>电感耦合等离子体质谱仪；</w:t>
      </w:r>
    </w:p>
    <w:p w14:paraId="4AC0F97B">
      <w:pPr>
        <w:pStyle w:val="176"/>
        <w:numPr>
          <w:numId w:val="32"/>
        </w:numPr>
        <w:bidi w:val="0"/>
        <w:ind w:left="851" w:leftChars="0" w:hanging="426" w:firstLineChars="0"/>
      </w:pPr>
      <w:r>
        <w:t>离心机，最大转速为10000 r/min；</w:t>
      </w:r>
    </w:p>
    <w:p w14:paraId="57574BB9">
      <w:pPr>
        <w:pStyle w:val="176"/>
        <w:numPr>
          <w:numId w:val="32"/>
        </w:numPr>
        <w:bidi w:val="0"/>
        <w:ind w:left="851" w:leftChars="0" w:hanging="426" w:firstLineChars="0"/>
      </w:pPr>
      <w:r>
        <w:t>分析天平，感量为 0.001g；</w:t>
      </w:r>
    </w:p>
    <w:p w14:paraId="2A16DFB9">
      <w:pPr>
        <w:pStyle w:val="176"/>
        <w:numPr>
          <w:numId w:val="32"/>
        </w:numPr>
        <w:bidi w:val="0"/>
        <w:ind w:left="851" w:leftChars="0" w:hanging="426" w:firstLineChars="0"/>
      </w:pPr>
      <w:r>
        <w:t>pH 计，精度为 0.01；</w:t>
      </w:r>
    </w:p>
    <w:p w14:paraId="7A7B642C">
      <w:pPr>
        <w:pStyle w:val="176"/>
        <w:numPr>
          <w:numId w:val="32"/>
        </w:numPr>
        <w:bidi w:val="0"/>
        <w:ind w:left="851" w:leftChars="0" w:hanging="426" w:firstLineChars="0"/>
      </w:pPr>
      <w:r>
        <w:t>移液器，最大取样体积分别为20 µL ，100 µL，1 mL，5 mL；</w:t>
      </w:r>
    </w:p>
    <w:p w14:paraId="260E487B">
      <w:pPr>
        <w:pStyle w:val="176"/>
        <w:numPr>
          <w:numId w:val="32"/>
        </w:numPr>
        <w:bidi w:val="0"/>
        <w:ind w:left="851" w:leftChars="0" w:hanging="426" w:firstLineChars="0"/>
      </w:pPr>
      <w:r>
        <w:t>容量瓶，体积分别为10mL，100 mL，1 L；</w:t>
      </w:r>
    </w:p>
    <w:p w14:paraId="3D867D02">
      <w:pPr>
        <w:pStyle w:val="176"/>
        <w:numPr>
          <w:numId w:val="32"/>
        </w:numPr>
        <w:bidi w:val="0"/>
        <w:ind w:left="851" w:leftChars="0" w:hanging="426" w:firstLineChars="0"/>
      </w:pPr>
      <w:r>
        <w:t>超声清洗机；</w:t>
      </w:r>
    </w:p>
    <w:p w14:paraId="13E42088">
      <w:pPr>
        <w:pStyle w:val="176"/>
        <w:numPr>
          <w:numId w:val="32"/>
        </w:numPr>
        <w:bidi w:val="0"/>
        <w:ind w:left="851" w:leftChars="0" w:hanging="426" w:firstLineChars="0"/>
      </w:pPr>
      <w:r>
        <w:t>破壁机；</w:t>
      </w:r>
    </w:p>
    <w:p w14:paraId="2E7157AE">
      <w:pPr>
        <w:pStyle w:val="176"/>
        <w:numPr>
          <w:numId w:val="32"/>
        </w:numPr>
        <w:bidi w:val="0"/>
        <w:ind w:left="851" w:leftChars="0" w:hanging="426" w:firstLineChars="0"/>
        <w:rPr>
          <w:rFonts w:hint="eastAsia"/>
          <w:lang w:eastAsia="zh-CN"/>
        </w:rPr>
      </w:pPr>
      <w:r>
        <w:t>水系针筒过滤器，滤膜孔径为0.22 µm</w:t>
      </w:r>
      <w:r>
        <w:rPr>
          <w:rFonts w:hint="eastAsia"/>
          <w:lang w:eastAsia="zh-CN"/>
        </w:rPr>
        <w:t>。</w:t>
      </w:r>
    </w:p>
    <w:p w14:paraId="7B3E762A">
      <w:pPr>
        <w:pStyle w:val="106"/>
        <w:bidi w:val="0"/>
      </w:pPr>
      <w:bookmarkStart w:id="70" w:name="_Toc150015671"/>
      <w:bookmarkStart w:id="71" w:name="_Toc149581289"/>
      <w:bookmarkStart w:id="72" w:name="_Toc150014771"/>
      <w:bookmarkStart w:id="73" w:name="_Toc149582225"/>
      <w:bookmarkStart w:id="74" w:name="_Toc3058"/>
      <w:r>
        <w:rPr>
          <w:rFonts w:hint="eastAsia"/>
        </w:rPr>
        <w:t>分析步骤</w:t>
      </w:r>
      <w:bookmarkEnd w:id="70"/>
      <w:bookmarkEnd w:id="71"/>
      <w:bookmarkEnd w:id="72"/>
      <w:bookmarkEnd w:id="73"/>
      <w:bookmarkEnd w:id="74"/>
    </w:p>
    <w:p w14:paraId="62489C0B">
      <w:pPr>
        <w:pStyle w:val="107"/>
        <w:keepNext w:val="0"/>
        <w:keepLines w:val="0"/>
        <w:pageBreakBefore w:val="0"/>
        <w:widowControl/>
        <w:kinsoku/>
        <w:wordWrap/>
        <w:overflowPunct/>
        <w:topLinePunct w:val="0"/>
        <w:autoSpaceDE/>
        <w:autoSpaceDN/>
        <w:bidi w:val="0"/>
        <w:adjustRightInd/>
        <w:snapToGrid/>
        <w:ind w:left="0"/>
        <w:textAlignment w:val="auto"/>
      </w:pPr>
      <w:bookmarkStart w:id="75" w:name="_Toc10027"/>
      <w:r>
        <w:rPr>
          <w:rFonts w:hint="eastAsia"/>
        </w:rPr>
        <w:t>扦样</w:t>
      </w:r>
      <w:bookmarkEnd w:id="75"/>
    </w:p>
    <w:p w14:paraId="590F1B5D">
      <w:pPr>
        <w:pStyle w:val="58"/>
        <w:bidi w:val="0"/>
      </w:pPr>
      <w:r>
        <w:rPr>
          <w:rFonts w:hint="eastAsia"/>
        </w:rPr>
        <w:t>扦样方法见GB/T 5491。</w:t>
      </w:r>
    </w:p>
    <w:p w14:paraId="1492DA6A">
      <w:pPr>
        <w:pStyle w:val="107"/>
        <w:keepNext w:val="0"/>
        <w:keepLines w:val="0"/>
        <w:pageBreakBefore w:val="0"/>
        <w:widowControl/>
        <w:kinsoku/>
        <w:wordWrap/>
        <w:overflowPunct/>
        <w:topLinePunct w:val="0"/>
        <w:autoSpaceDE/>
        <w:autoSpaceDN/>
        <w:bidi w:val="0"/>
        <w:adjustRightInd/>
        <w:snapToGrid/>
        <w:ind w:left="0"/>
        <w:textAlignment w:val="auto"/>
      </w:pPr>
      <w:bookmarkStart w:id="76" w:name="_Toc21855"/>
      <w:r>
        <w:rPr>
          <w:rFonts w:hint="eastAsia"/>
        </w:rPr>
        <w:t>样品的制备</w:t>
      </w:r>
      <w:bookmarkEnd w:id="76"/>
    </w:p>
    <w:p w14:paraId="7879610B">
      <w:pPr>
        <w:pStyle w:val="58"/>
        <w:bidi w:val="0"/>
      </w:pPr>
      <w:r>
        <w:t>采集后的样品应在实验室中依次进行风干、粉碎、过筛和密封保存。在样品的采集、运输、制备及保存过程中，应严格避免沾污和待测元素的损失。</w:t>
      </w:r>
    </w:p>
    <w:p w14:paraId="12E224A7">
      <w:pPr>
        <w:pStyle w:val="107"/>
        <w:keepNext w:val="0"/>
        <w:keepLines w:val="0"/>
        <w:pageBreakBefore w:val="0"/>
        <w:widowControl/>
        <w:kinsoku/>
        <w:wordWrap/>
        <w:overflowPunct/>
        <w:topLinePunct w:val="0"/>
        <w:autoSpaceDE/>
        <w:autoSpaceDN/>
        <w:bidi w:val="0"/>
        <w:adjustRightInd/>
        <w:snapToGrid/>
        <w:ind w:left="0"/>
        <w:textAlignment w:val="auto"/>
      </w:pPr>
      <w:bookmarkStart w:id="77" w:name="_Toc473"/>
      <w:r>
        <w:rPr>
          <w:rFonts w:hint="eastAsia"/>
        </w:rPr>
        <w:t>试样提取</w:t>
      </w:r>
      <w:bookmarkEnd w:id="77"/>
    </w:p>
    <w:p w14:paraId="6FCA9077">
      <w:pPr>
        <w:pStyle w:val="58"/>
        <w:bidi w:val="0"/>
      </w:pPr>
      <w:r>
        <w:t>取采集的富硒大米样品，使用高速破壁机将其粉碎。准确称取粉碎后的样品0.2～1.0 g（精确至0.001g），置于离心管中，加入</w:t>
      </w:r>
      <w:r>
        <w:rPr>
          <w:rFonts w:hint="eastAsia"/>
        </w:rPr>
        <w:t>4</w:t>
      </w:r>
      <w:r>
        <w:t xml:space="preserve"> mL Tris-HCl缓冲液（1 mol/L，pH 7.5）和1.0 mL复合酶解液，将离心管置于35℃恒温超声仪中进行酶解提取1 h。提取完成后，取出离心管，</w:t>
      </w:r>
      <w:r>
        <w:rPr>
          <w:rFonts w:hint="eastAsia"/>
        </w:rPr>
        <w:t>在8</w:t>
      </w:r>
      <w:r>
        <w:t xml:space="preserve">000 </w:t>
      </w:r>
      <w:r>
        <w:rPr>
          <w:rFonts w:hint="eastAsia"/>
        </w:rPr>
        <w:t>rpm离心1</w:t>
      </w:r>
      <w:r>
        <w:t>0</w:t>
      </w:r>
      <w:r>
        <w:rPr>
          <w:rFonts w:hint="eastAsia"/>
        </w:rPr>
        <w:t>分钟，取上清液；向离心管中加入5</w:t>
      </w:r>
      <w:r>
        <w:t xml:space="preserve"> mL Tris-HCl缓冲液</w:t>
      </w:r>
      <w:r>
        <w:rPr>
          <w:rFonts w:hint="eastAsia"/>
        </w:rPr>
        <w:t>，超声振荡3分钟，在8</w:t>
      </w:r>
      <w:r>
        <w:t xml:space="preserve">000 </w:t>
      </w:r>
      <w:r>
        <w:rPr>
          <w:rFonts w:hint="eastAsia"/>
        </w:rPr>
        <w:t>rpm离心1</w:t>
      </w:r>
      <w:r>
        <w:t>0</w:t>
      </w:r>
      <w:r>
        <w:rPr>
          <w:rFonts w:hint="eastAsia"/>
        </w:rPr>
        <w:t>分钟，合并两次上清液，经0</w:t>
      </w:r>
      <w:r>
        <w:t>.</w:t>
      </w:r>
      <w:r>
        <w:rPr>
          <w:rFonts w:hint="eastAsia"/>
        </w:rPr>
        <w:t>22</w:t>
      </w:r>
      <w:r>
        <w:t xml:space="preserve"> </w:t>
      </w:r>
      <w:r>
        <w:rPr>
          <w:rFonts w:hint="eastAsia"/>
        </w:rPr>
        <w:t>µm的滤膜过滤后，</w:t>
      </w:r>
      <w:r>
        <w:t>滤液作为待测样液备用。</w:t>
      </w:r>
    </w:p>
    <w:p w14:paraId="41AD3CD4">
      <w:pPr>
        <w:pStyle w:val="107"/>
        <w:keepNext w:val="0"/>
        <w:keepLines w:val="0"/>
        <w:pageBreakBefore w:val="0"/>
        <w:widowControl/>
        <w:kinsoku/>
        <w:wordWrap/>
        <w:overflowPunct/>
        <w:topLinePunct w:val="0"/>
        <w:autoSpaceDE/>
        <w:autoSpaceDN/>
        <w:bidi w:val="0"/>
        <w:adjustRightInd/>
        <w:snapToGrid/>
        <w:ind w:left="0"/>
        <w:textAlignment w:val="auto"/>
      </w:pPr>
      <w:bookmarkStart w:id="78" w:name="_Toc29464"/>
      <w:r>
        <w:rPr>
          <w:rFonts w:hint="eastAsia"/>
        </w:rPr>
        <w:t>空白试验</w:t>
      </w:r>
      <w:bookmarkEnd w:id="78"/>
    </w:p>
    <w:p w14:paraId="2E471F39">
      <w:pPr>
        <w:pStyle w:val="58"/>
        <w:bidi w:val="0"/>
      </w:pPr>
      <w:r>
        <w:rPr>
          <w:rFonts w:hint="eastAsia"/>
        </w:rPr>
        <w:t>按照6.3相同的试剂和步骤进行空白试验。</w:t>
      </w:r>
    </w:p>
    <w:p w14:paraId="53884BEE">
      <w:pPr>
        <w:pStyle w:val="107"/>
        <w:keepNext w:val="0"/>
        <w:keepLines w:val="0"/>
        <w:pageBreakBefore w:val="0"/>
        <w:widowControl/>
        <w:kinsoku/>
        <w:wordWrap/>
        <w:overflowPunct/>
        <w:topLinePunct w:val="0"/>
        <w:autoSpaceDE/>
        <w:autoSpaceDN/>
        <w:bidi w:val="0"/>
        <w:adjustRightInd/>
        <w:snapToGrid/>
        <w:ind w:left="0"/>
        <w:textAlignment w:val="auto"/>
      </w:pPr>
      <w:bookmarkStart w:id="79" w:name="_Toc10117"/>
      <w:r>
        <w:rPr>
          <w:rFonts w:hint="eastAsia"/>
        </w:rPr>
        <w:t>测定</w:t>
      </w:r>
      <w:bookmarkEnd w:id="79"/>
    </w:p>
    <w:p w14:paraId="5065AEB3">
      <w:pPr>
        <w:pStyle w:val="67"/>
        <w:bidi w:val="0"/>
      </w:pPr>
      <w:r>
        <w:rPr>
          <w:rFonts w:hint="eastAsia"/>
        </w:rPr>
        <w:t>液相色谱参考条件</w:t>
      </w:r>
    </w:p>
    <w:p w14:paraId="0E09D044">
      <w:pPr>
        <w:pStyle w:val="58"/>
        <w:bidi w:val="0"/>
      </w:pPr>
      <w:r>
        <w:t>设备不同，测定条件可能不同。以下测定条件经证实是可行的：</w:t>
      </w:r>
    </w:p>
    <w:p w14:paraId="3F51957C">
      <w:pPr>
        <w:pStyle w:val="176"/>
        <w:numPr>
          <w:numId w:val="33"/>
        </w:numPr>
        <w:bidi w:val="0"/>
        <w:ind w:left="851" w:leftChars="0" w:hanging="426" w:firstLineChars="0"/>
      </w:pPr>
      <w:r>
        <w:t>色谱柱：C18柱， 250mm×4.6mm</w:t>
      </w:r>
      <w:r>
        <w:rPr>
          <w:rFonts w:hint="eastAsia"/>
        </w:rPr>
        <w:t xml:space="preserve"> </w:t>
      </w:r>
      <w:r>
        <w:t>(粒径5μm)</w:t>
      </w:r>
      <w:r>
        <w:rPr>
          <w:rFonts w:hint="eastAsia"/>
        </w:rPr>
        <w:t>，</w:t>
      </w:r>
      <w:r>
        <w:t>或其他性能相当者；</w:t>
      </w:r>
    </w:p>
    <w:p w14:paraId="211B1D0D">
      <w:pPr>
        <w:pStyle w:val="176"/>
        <w:numPr>
          <w:numId w:val="33"/>
        </w:numPr>
        <w:bidi w:val="0"/>
        <w:ind w:left="851" w:leftChars="0" w:hanging="426" w:firstLineChars="0"/>
      </w:pPr>
      <w:r>
        <w:t>流动相：</w:t>
      </w:r>
      <w:r>
        <w:rPr>
          <w:rFonts w:hint="eastAsia"/>
        </w:rPr>
        <w:t>0</w:t>
      </w:r>
      <w:r>
        <w:t xml:space="preserve">.5 </w:t>
      </w:r>
      <w:r>
        <w:rPr>
          <w:rFonts w:hint="eastAsia"/>
        </w:rPr>
        <w:t>mM四丁基氢氧化铵-</w:t>
      </w:r>
      <w:r>
        <w:t>25 mM</w:t>
      </w:r>
      <w:r>
        <w:rPr>
          <w:rFonts w:hint="eastAsia"/>
        </w:rPr>
        <w:t>磷酸二氢铵-</w:t>
      </w:r>
      <w:r>
        <w:t>2%</w:t>
      </w:r>
      <w:r>
        <w:rPr>
          <w:rFonts w:hint="eastAsia"/>
        </w:rPr>
        <w:t>甲醇</w:t>
      </w:r>
      <w:r>
        <w:rPr>
          <w:rFonts w:hint="eastAsia"/>
          <w:lang w:eastAsia="zh-CN"/>
        </w:rPr>
        <w:t>；</w:t>
      </w:r>
    </w:p>
    <w:p w14:paraId="2466CF39">
      <w:pPr>
        <w:pStyle w:val="176"/>
        <w:numPr>
          <w:numId w:val="33"/>
        </w:numPr>
        <w:bidi w:val="0"/>
        <w:ind w:left="851" w:leftChars="0" w:hanging="426" w:firstLineChars="0"/>
      </w:pPr>
      <w:r>
        <w:t>流速：</w:t>
      </w:r>
      <w:r>
        <w:rPr>
          <w:rFonts w:hint="eastAsia"/>
        </w:rPr>
        <w:t>1</w:t>
      </w:r>
      <w:r>
        <w:t xml:space="preserve"> mL/min；</w:t>
      </w:r>
    </w:p>
    <w:p w14:paraId="5C378156">
      <w:pPr>
        <w:pStyle w:val="176"/>
        <w:numPr>
          <w:numId w:val="33"/>
        </w:numPr>
        <w:bidi w:val="0"/>
        <w:ind w:left="851" w:leftChars="0" w:hanging="426" w:firstLineChars="0"/>
      </w:pPr>
      <w:r>
        <w:t>柱温： 25℃；</w:t>
      </w:r>
    </w:p>
    <w:p w14:paraId="1A01A110">
      <w:pPr>
        <w:pStyle w:val="176"/>
        <w:numPr>
          <w:numId w:val="33"/>
        </w:numPr>
        <w:bidi w:val="0"/>
        <w:ind w:left="851" w:leftChars="0" w:hanging="426" w:firstLineChars="0"/>
      </w:pPr>
      <w:r>
        <w:t>进样量：50</w:t>
      </w:r>
      <w:r>
        <w:rPr>
          <w:rFonts w:hint="eastAsia"/>
        </w:rPr>
        <w:t xml:space="preserve"> </w:t>
      </w:r>
      <w:r>
        <w:t>μL</w:t>
      </w:r>
      <w:r>
        <w:rPr>
          <w:rFonts w:hint="eastAsia"/>
          <w:lang w:eastAsia="zh-CN"/>
        </w:rPr>
        <w:t>。</w:t>
      </w:r>
    </w:p>
    <w:p w14:paraId="2EC39B5B">
      <w:pPr>
        <w:pStyle w:val="67"/>
        <w:bidi w:val="0"/>
      </w:pPr>
      <w:r>
        <w:rPr>
          <w:rFonts w:hint="eastAsia"/>
        </w:rPr>
        <w:t>电感耦合等离子体质谱参考条件</w:t>
      </w:r>
    </w:p>
    <w:p w14:paraId="21B31CD2">
      <w:pPr>
        <w:pStyle w:val="176"/>
        <w:numPr>
          <w:numId w:val="34"/>
        </w:numPr>
        <w:bidi w:val="0"/>
        <w:ind w:left="851" w:leftChars="0" w:hanging="426" w:firstLineChars="0"/>
      </w:pPr>
      <w:r>
        <w:rPr>
          <w:rFonts w:hint="eastAsia"/>
        </w:rPr>
        <w:t>射频功率：1200 W；</w:t>
      </w:r>
    </w:p>
    <w:p w14:paraId="62739E6E">
      <w:pPr>
        <w:pStyle w:val="176"/>
        <w:numPr>
          <w:numId w:val="34"/>
        </w:numPr>
        <w:bidi w:val="0"/>
        <w:ind w:left="851" w:leftChars="0" w:hanging="426" w:firstLineChars="0"/>
      </w:pPr>
      <w:r>
        <w:rPr>
          <w:rFonts w:hint="eastAsia"/>
        </w:rPr>
        <w:t>采样深度：5 mm；</w:t>
      </w:r>
    </w:p>
    <w:p w14:paraId="77FAF0C6">
      <w:pPr>
        <w:pStyle w:val="176"/>
        <w:numPr>
          <w:numId w:val="34"/>
        </w:numPr>
        <w:bidi w:val="0"/>
        <w:ind w:left="851" w:leftChars="0" w:hanging="426" w:firstLineChars="0"/>
      </w:pPr>
      <w:r>
        <w:rPr>
          <w:rFonts w:hint="eastAsia"/>
        </w:rPr>
        <w:t>采集质量数：78Se；</w:t>
      </w:r>
    </w:p>
    <w:p w14:paraId="3F3B66D5">
      <w:pPr>
        <w:pStyle w:val="176"/>
        <w:numPr>
          <w:numId w:val="34"/>
        </w:numPr>
        <w:bidi w:val="0"/>
        <w:ind w:left="851" w:leftChars="0" w:hanging="426" w:firstLineChars="0"/>
      </w:pPr>
      <w:r>
        <w:rPr>
          <w:rFonts w:hint="eastAsia"/>
        </w:rPr>
        <w:t>等离子气流速：8 L/min;</w:t>
      </w:r>
    </w:p>
    <w:p w14:paraId="6DBE28CB">
      <w:pPr>
        <w:pStyle w:val="176"/>
        <w:numPr>
          <w:numId w:val="34"/>
        </w:numPr>
        <w:bidi w:val="0"/>
        <w:ind w:left="851" w:leftChars="0" w:hanging="426" w:firstLineChars="0"/>
      </w:pPr>
      <w:r>
        <w:rPr>
          <w:rFonts w:hint="eastAsia"/>
        </w:rPr>
        <w:t>载气流速：0.70 L/min；</w:t>
      </w:r>
    </w:p>
    <w:p w14:paraId="0EEAD92A">
      <w:pPr>
        <w:pStyle w:val="176"/>
        <w:numPr>
          <w:numId w:val="34"/>
        </w:numPr>
        <w:bidi w:val="0"/>
        <w:ind w:left="851" w:leftChars="0" w:hanging="426" w:firstLineChars="0"/>
      </w:pPr>
      <w:r>
        <w:rPr>
          <w:rFonts w:hint="eastAsia"/>
        </w:rPr>
        <w:t>碰撞气流速：8 mL/min；</w:t>
      </w:r>
    </w:p>
    <w:p w14:paraId="05B6CE9E">
      <w:pPr>
        <w:pStyle w:val="176"/>
        <w:numPr>
          <w:numId w:val="34"/>
        </w:numPr>
        <w:bidi w:val="0"/>
        <w:ind w:left="851" w:leftChars="0" w:hanging="426" w:firstLineChars="0"/>
      </w:pPr>
      <w:r>
        <w:rPr>
          <w:rFonts w:hint="eastAsia"/>
        </w:rPr>
        <w:t>积分时间：0.5 s；</w:t>
      </w:r>
    </w:p>
    <w:p w14:paraId="78AAD85E">
      <w:pPr>
        <w:pStyle w:val="176"/>
        <w:numPr>
          <w:numId w:val="34"/>
        </w:numPr>
        <w:bidi w:val="0"/>
        <w:ind w:left="851" w:leftChars="0" w:hanging="426" w:firstLineChars="0"/>
      </w:pPr>
      <w:r>
        <w:rPr>
          <w:rFonts w:hint="eastAsia"/>
        </w:rPr>
        <w:t>数据采集时间：22 min；</w:t>
      </w:r>
    </w:p>
    <w:p w14:paraId="49F95707">
      <w:pPr>
        <w:pStyle w:val="176"/>
        <w:numPr>
          <w:numId w:val="34"/>
        </w:numPr>
        <w:bidi w:val="0"/>
        <w:ind w:left="851" w:leftChars="0" w:hanging="426" w:firstLineChars="0"/>
      </w:pPr>
      <w:r>
        <w:rPr>
          <w:rFonts w:hint="eastAsia"/>
        </w:rPr>
        <w:t>采样锥：镍锥；</w:t>
      </w:r>
    </w:p>
    <w:p w14:paraId="0C40C37E">
      <w:pPr>
        <w:pStyle w:val="176"/>
        <w:numPr>
          <w:numId w:val="34"/>
        </w:numPr>
        <w:bidi w:val="0"/>
        <w:ind w:left="851" w:leftChars="0" w:hanging="426" w:firstLineChars="0"/>
      </w:pPr>
      <w:r>
        <w:rPr>
          <w:rFonts w:hint="eastAsia"/>
        </w:rPr>
        <w:t>雾化器：同心玻璃雾化器。</w:t>
      </w:r>
    </w:p>
    <w:p w14:paraId="2402C260">
      <w:pPr>
        <w:pStyle w:val="67"/>
        <w:bidi w:val="0"/>
      </w:pPr>
      <w:r>
        <w:rPr>
          <w:rFonts w:hint="eastAsia"/>
        </w:rPr>
        <w:t>标准曲线的制作</w:t>
      </w:r>
    </w:p>
    <w:p w14:paraId="2ED4841D">
      <w:pPr>
        <w:pStyle w:val="58"/>
        <w:bidi w:val="0"/>
      </w:pPr>
      <w:r>
        <w:rPr>
          <w:rFonts w:hint="eastAsia"/>
        </w:rPr>
        <w:t>设定仪器最佳条件,待基线稳定后,测定六种硒形态混合标准溶液(100 μg/L),确定各硒形态完全分离后,将硒混合标准系列溶液按质量浓度由低到高分别注入液相色谱-电感耦合等离子体质谱联用仪中进行测定,以标准系列溶液中目标化合物的浓度为横坐标,以色谱峰面积为纵坐标,制作标准曲线。标准溶液色谱图见附录A中图 A.1。</w:t>
      </w:r>
    </w:p>
    <w:p w14:paraId="1FADA5C1">
      <w:pPr>
        <w:pStyle w:val="58"/>
        <w:bidi w:val="0"/>
      </w:pPr>
      <w:r>
        <w:t>将甲基-硒代半胱氨酸[MeSeCys]、硒代胱氨酸[SeCys2]、硒代蛋氨酸[SeMet]、硒代乙硫氨酸[SeEt]、亚硒酸根 [Se(Ⅳ)]、硒酸根 [Se(Ⅵ)] 6种混合标准系列溶液</w:t>
      </w:r>
      <w:r>
        <w:rPr>
          <w:rFonts w:hint="eastAsia"/>
        </w:rPr>
        <w:t>，按质量浓度由低到高</w:t>
      </w:r>
      <w:r>
        <w:t xml:space="preserve">分别注入高效液相色谱-电感耦合等离子体质谱分析系统，测定各标准溶液的相应色谱峰面积。以标准溶液的浓度为横坐标，以对应的峰面积为纵坐标，绘制校准曲线，并得到回归方程。 </w:t>
      </w:r>
    </w:p>
    <w:p w14:paraId="5AAE3CE1">
      <w:pPr>
        <w:pStyle w:val="58"/>
        <w:bidi w:val="0"/>
      </w:pPr>
      <w:r>
        <w:t>标准物质的高效液相色谱-电感耦合等离子体质谱色谱图参见附录A。</w:t>
      </w:r>
    </w:p>
    <w:p w14:paraId="5BD96B28">
      <w:pPr>
        <w:pStyle w:val="67"/>
        <w:bidi w:val="0"/>
      </w:pPr>
      <w:r>
        <w:rPr>
          <w:rFonts w:hint="eastAsia"/>
        </w:rPr>
        <w:t>试样测定</w:t>
      </w:r>
    </w:p>
    <w:p w14:paraId="09539DD3">
      <w:pPr>
        <w:pStyle w:val="58"/>
        <w:bidi w:val="0"/>
      </w:pPr>
      <w:r>
        <w:t>按照6.</w:t>
      </w:r>
      <w:r>
        <w:rPr>
          <w:rFonts w:hint="eastAsia"/>
        </w:rPr>
        <w:t>5</w:t>
      </w:r>
      <w:r>
        <w:t>.</w:t>
      </w:r>
      <w:r>
        <w:rPr>
          <w:rFonts w:hint="eastAsia"/>
        </w:rPr>
        <w:t>3</w:t>
      </w:r>
      <w:r>
        <w:t>相同的方法进行待测试液的测定，得到甲基-硒代半胱氨酸[MeSeCys]、硒代胱氨酸[SeCys2]、硒代蛋氨酸[SeMet]、硒代乙硫氨酸[SeEt]、亚硒酸根 [Se(Ⅳ)]、硒酸根 [Se(Ⅵ)]色谱峰面积。根据校准曲线回归方程，计算试液中甲基-硒代半胱氨酸[MeSeCys]、硒代胱氨酸[SeCys2]、硒代蛋氨酸[SeMet]、硒代乙硫氨酸[SeEt]、亚硒酸根 [Se(Ⅳ)]、硒酸根 [Se(Ⅵ)]的质量浓度。</w:t>
      </w:r>
    </w:p>
    <w:p w14:paraId="261E8B6B">
      <w:pPr>
        <w:pStyle w:val="67"/>
        <w:bidi w:val="0"/>
      </w:pPr>
      <w:r>
        <w:rPr>
          <w:rFonts w:hint="eastAsia"/>
        </w:rPr>
        <w:t>结果计算与表示</w:t>
      </w:r>
    </w:p>
    <w:p w14:paraId="3B4A0A1A">
      <w:pPr>
        <w:pStyle w:val="58"/>
        <w:bidi w:val="0"/>
        <w:rPr>
          <w:rFonts w:hint="eastAsia" w:ascii="Times New Roman"/>
          <w:szCs w:val="21"/>
          <w:lang w:eastAsia="zh-CN"/>
        </w:rPr>
      </w:pPr>
      <w:r>
        <w:t>试样中6种硒形态的含量按式</w:t>
      </w:r>
      <w:r>
        <w:rPr>
          <w:rFonts w:hint="eastAsia"/>
        </w:rPr>
        <w:t>(1)</w:t>
      </w:r>
      <w:r>
        <w:t>进行计算：</w:t>
      </w:r>
    </w:p>
    <w:p w14:paraId="42106903">
      <w:pPr>
        <w:pStyle w:val="115"/>
        <w:bidi w:val="0"/>
        <w:rPr>
          <w:rFonts w:hint="eastAsia"/>
          <w:lang w:eastAsia="zh-CN"/>
        </w:rPr>
      </w:pPr>
      <w:r>
        <w:rPr>
          <w:rFonts w:hint="eastAsia"/>
          <w:lang w:eastAsia="zh-CN"/>
        </w:rPr>
        <w:tab/>
      </w:r>
      <w:r>
        <w:rPr>
          <w:rFonts w:hint="eastAsia"/>
          <w:position w:val="-28"/>
          <w:lang w:eastAsia="zh-CN"/>
        </w:rPr>
        <w:object>
          <v:shape id="_x0000_i1027" o:spt="75" type="#_x0000_t75" style="height:34pt;width:96pt;" o:ole="t" filled="f" o:preferrelative="t" stroked="f" coordsize="21600,21600">
            <v:fill on="f" focussize="0,0"/>
            <v:stroke on="f"/>
            <v:imagedata r:id="rId28" o:title=""/>
            <o:lock v:ext="edit" aspectratio="t"/>
            <w10:wrap type="none"/>
            <w10:anchorlock/>
          </v:shape>
          <o:OLEObject Type="Embed" ProgID="Equation.KSEE3" ShapeID="_x0000_i1027" DrawAspect="Content" ObjectID="_1468075725" r:id="rId27">
            <o:LockedField>false</o:LockedField>
          </o:OLEObject>
        </w:object>
      </w:r>
      <w:r>
        <w:rPr>
          <w:rFonts w:hint="eastAsia"/>
          <w:lang w:eastAsia="zh-CN"/>
        </w:rPr>
        <w:tab/>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p w14:paraId="38FFA83F">
      <w:pPr>
        <w:pStyle w:val="58"/>
        <w:bidi w:val="0"/>
        <w:rPr>
          <w:rFonts w:hint="eastAsia" w:ascii="Times New Roman"/>
          <w:szCs w:val="21"/>
          <w:lang w:eastAsia="zh-CN"/>
        </w:rPr>
      </w:pPr>
      <w:r>
        <w:rPr>
          <w:rFonts w:hint="eastAsia"/>
          <w:lang w:eastAsia="zh-CN"/>
        </w:rPr>
        <w:t>式中：</w:t>
      </w:r>
    </w:p>
    <w:p w14:paraId="0488139F">
      <w:pPr>
        <w:pStyle w:val="111"/>
        <w:numPr>
          <w:ilvl w:val="1"/>
          <w:numId w:val="35"/>
        </w:numPr>
        <w:bidi w:val="0"/>
        <w:ind w:left="1276" w:leftChars="0" w:hanging="425" w:firstLineChars="0"/>
      </w:pPr>
      <w:r>
        <w:rPr>
          <w:rFonts w:hint="eastAsia"/>
        </w:rPr>
        <w:t>X</w:t>
      </w:r>
      <w:r>
        <w:t>——样品中各硒化合物的含量，mg/kg；</w:t>
      </w:r>
    </w:p>
    <w:p w14:paraId="51D46EDB">
      <w:pPr>
        <w:pStyle w:val="111"/>
        <w:numPr>
          <w:ilvl w:val="1"/>
          <w:numId w:val="35"/>
        </w:numPr>
        <w:bidi w:val="0"/>
        <w:ind w:left="1276" w:leftChars="0" w:hanging="425" w:firstLineChars="0"/>
      </w:pPr>
      <w:r>
        <w:t>c——样品溶液中各硒化合物的浓度，μg/L；</w:t>
      </w:r>
    </w:p>
    <w:p w14:paraId="3F54631E">
      <w:pPr>
        <w:pStyle w:val="111"/>
        <w:numPr>
          <w:ilvl w:val="1"/>
          <w:numId w:val="35"/>
        </w:numPr>
        <w:bidi w:val="0"/>
        <w:ind w:left="1276" w:leftChars="0" w:hanging="425" w:firstLineChars="0"/>
      </w:pPr>
      <w:r>
        <w:t>v——样品定容体积，mL；</w:t>
      </w:r>
    </w:p>
    <w:p w14:paraId="31C02547">
      <w:pPr>
        <w:pStyle w:val="111"/>
        <w:numPr>
          <w:ilvl w:val="1"/>
          <w:numId w:val="35"/>
        </w:numPr>
        <w:bidi w:val="0"/>
        <w:ind w:left="1276" w:leftChars="0" w:hanging="425" w:firstLineChars="0"/>
      </w:pPr>
      <w:r>
        <w:t>m——样品称样质量，g；</w:t>
      </w:r>
    </w:p>
    <w:p w14:paraId="4C663015">
      <w:pPr>
        <w:pStyle w:val="111"/>
        <w:numPr>
          <w:ilvl w:val="1"/>
          <w:numId w:val="35"/>
        </w:numPr>
        <w:bidi w:val="0"/>
        <w:ind w:left="1276" w:leftChars="0" w:hanging="425" w:firstLineChars="0"/>
      </w:pPr>
      <w:r>
        <w:t>k——稀释倍数。</w:t>
      </w:r>
    </w:p>
    <w:p w14:paraId="3C119B77">
      <w:pPr>
        <w:pStyle w:val="58"/>
        <w:bidi w:val="0"/>
      </w:pPr>
      <w:r>
        <w:t>当试验结果小于1.00 mg/kg时，保留小数点后两位；当试验结果大于1.00 mg/kg时，保留三位有效数字。</w:t>
      </w:r>
    </w:p>
    <w:p w14:paraId="2A966CD1">
      <w:pPr>
        <w:pStyle w:val="106"/>
        <w:bidi w:val="0"/>
      </w:pPr>
      <w:bookmarkStart w:id="80" w:name="_Toc150015672"/>
      <w:bookmarkStart w:id="81" w:name="_Toc150014772"/>
      <w:bookmarkStart w:id="82" w:name="_Toc149581290"/>
      <w:bookmarkStart w:id="83" w:name="_Toc149582226"/>
      <w:bookmarkStart w:id="84" w:name="_Toc27957"/>
      <w:r>
        <w:rPr>
          <w:rFonts w:hint="eastAsia"/>
        </w:rPr>
        <w:t>结果的允许误差精密度</w:t>
      </w:r>
      <w:bookmarkEnd w:id="80"/>
      <w:bookmarkEnd w:id="81"/>
      <w:bookmarkEnd w:id="82"/>
      <w:bookmarkEnd w:id="83"/>
      <w:bookmarkEnd w:id="84"/>
    </w:p>
    <w:p w14:paraId="404831EB">
      <w:pPr>
        <w:pStyle w:val="58"/>
        <w:bidi w:val="0"/>
      </w:pPr>
      <w:r>
        <w:rPr>
          <w:rFonts w:hint="eastAsia"/>
        </w:rPr>
        <w:t>在重复性条件下获得的两次独立测定结果的绝对差值不得超过算术平均值的20％。</w:t>
      </w:r>
    </w:p>
    <w:p w14:paraId="35D9FF2B">
      <w:pPr>
        <w:pStyle w:val="106"/>
        <w:bidi w:val="0"/>
      </w:pPr>
      <w:bookmarkStart w:id="85" w:name="_Toc16621"/>
      <w:r>
        <w:t>质量控制</w:t>
      </w:r>
      <w:bookmarkEnd w:id="85"/>
    </w:p>
    <w:p w14:paraId="6356C22F">
      <w:pPr>
        <w:pStyle w:val="58"/>
        <w:bidi w:val="0"/>
      </w:pPr>
      <w:r>
        <w:t>每10个样品应至少做一个实验室空白，其测定结果应低于方法检出限。</w:t>
      </w:r>
    </w:p>
    <w:p w14:paraId="5AF0CA10">
      <w:pPr>
        <w:pStyle w:val="58"/>
        <w:bidi w:val="0"/>
      </w:pPr>
      <w:r>
        <w:t>每次分析样品前均应建立校准曲线，其线性相关系数&gt;0.99。分析过程中，应用质控样品确认校准曲线的有效性。</w:t>
      </w:r>
    </w:p>
    <w:p w14:paraId="4D904AA5">
      <w:pPr>
        <w:pStyle w:val="58"/>
        <w:bidi w:val="0"/>
      </w:pPr>
      <w:r>
        <w:t>在样品测定过程中，每隔一段时间应注入校准溶液或质控样品进行检查，如测定值与标准值的差值超过标准值的±10%，应重新绘制校准曲线。校准溶液或质控样品的浓度以限量值或被测物接近的浓度为宜。</w:t>
      </w:r>
    </w:p>
    <w:p w14:paraId="2465D421">
      <w:pPr>
        <w:pStyle w:val="106"/>
        <w:bidi w:val="0"/>
      </w:pPr>
      <w:bookmarkStart w:id="86" w:name="_Toc11866"/>
      <w:r>
        <w:t>检出限和定量限</w:t>
      </w:r>
      <w:bookmarkEnd w:id="86"/>
    </w:p>
    <w:p w14:paraId="5A9F9F8D">
      <w:pPr>
        <w:pStyle w:val="58"/>
        <w:bidi w:val="0"/>
      </w:pPr>
      <w:r>
        <w:t>当大米取样量为0.5 g，进样体积为50 µL时，本方法对大米中甲基-硒代半胱氨酸[MeSeCys]、硒代胱氨酸[SeCys2]、硒代蛋氨酸[SeMet]、硒代乙硫氨酸[SeEt]、亚硒酸根 [Se(Ⅳ)]、硒酸根 [Se(Ⅵ)]的检出限</w:t>
      </w:r>
      <w:r>
        <w:rPr>
          <w:rFonts w:hint="eastAsia"/>
        </w:rPr>
        <w:t>分别</w:t>
      </w:r>
      <w:r>
        <w:t>为0.0</w:t>
      </w:r>
      <w:r>
        <w:rPr>
          <w:rFonts w:hint="eastAsia"/>
        </w:rPr>
        <w:t>08</w:t>
      </w:r>
      <w:r>
        <w:t xml:space="preserve"> mg/kg</w:t>
      </w:r>
      <w:r>
        <w:rPr>
          <w:rFonts w:hint="eastAsia"/>
        </w:rPr>
        <w:t>、</w:t>
      </w:r>
      <w:r>
        <w:t>0.0</w:t>
      </w:r>
      <w:r>
        <w:rPr>
          <w:rFonts w:hint="eastAsia"/>
        </w:rPr>
        <w:t>08</w:t>
      </w:r>
      <w:r>
        <w:t xml:space="preserve"> mg/kg</w:t>
      </w:r>
      <w:r>
        <w:rPr>
          <w:rFonts w:hint="eastAsia"/>
        </w:rPr>
        <w:t>、</w:t>
      </w:r>
      <w:r>
        <w:t>0.0</w:t>
      </w:r>
      <w:r>
        <w:rPr>
          <w:rFonts w:hint="eastAsia"/>
        </w:rPr>
        <w:t>08</w:t>
      </w:r>
      <w:r>
        <w:t xml:space="preserve"> mg/kg</w:t>
      </w:r>
      <w:r>
        <w:rPr>
          <w:rFonts w:hint="eastAsia"/>
        </w:rPr>
        <w:t>、</w:t>
      </w:r>
      <w:r>
        <w:t>0.0</w:t>
      </w:r>
      <w:r>
        <w:rPr>
          <w:rFonts w:hint="eastAsia"/>
        </w:rPr>
        <w:t>08</w:t>
      </w:r>
      <w:r>
        <w:t xml:space="preserve"> mg/kg</w:t>
      </w:r>
      <w:r>
        <w:rPr>
          <w:rFonts w:hint="eastAsia"/>
        </w:rPr>
        <w:t>、</w:t>
      </w:r>
      <w:r>
        <w:t>0.0</w:t>
      </w:r>
      <w:r>
        <w:rPr>
          <w:rFonts w:hint="eastAsia"/>
        </w:rPr>
        <w:t>08</w:t>
      </w:r>
      <w:r>
        <w:t xml:space="preserve"> mg/kg</w:t>
      </w:r>
      <w:r>
        <w:rPr>
          <w:rFonts w:hint="eastAsia"/>
        </w:rPr>
        <w:t>、</w:t>
      </w:r>
      <w:r>
        <w:t>0.0</w:t>
      </w:r>
      <w:r>
        <w:rPr>
          <w:rFonts w:hint="eastAsia"/>
        </w:rPr>
        <w:t>06</w:t>
      </w:r>
      <w:r>
        <w:t xml:space="preserve"> mg/kg，定量限</w:t>
      </w:r>
      <w:r>
        <w:rPr>
          <w:rFonts w:hint="eastAsia"/>
        </w:rPr>
        <w:t>分别</w:t>
      </w:r>
      <w:r>
        <w:t>为0.0</w:t>
      </w:r>
      <w:r>
        <w:rPr>
          <w:rFonts w:hint="eastAsia"/>
        </w:rPr>
        <w:t>24</w:t>
      </w:r>
      <w:r>
        <w:t xml:space="preserve"> mg/kg</w:t>
      </w:r>
      <w:r>
        <w:rPr>
          <w:rFonts w:hint="eastAsia"/>
        </w:rPr>
        <w:t>、</w:t>
      </w:r>
      <w:r>
        <w:t>0.0</w:t>
      </w:r>
      <w:r>
        <w:rPr>
          <w:rFonts w:hint="eastAsia"/>
        </w:rPr>
        <w:t>24</w:t>
      </w:r>
      <w:r>
        <w:t xml:space="preserve"> mg/kg</w:t>
      </w:r>
      <w:r>
        <w:rPr>
          <w:rFonts w:hint="eastAsia"/>
        </w:rPr>
        <w:t>、</w:t>
      </w:r>
      <w:r>
        <w:t>0.0</w:t>
      </w:r>
      <w:r>
        <w:rPr>
          <w:rFonts w:hint="eastAsia"/>
        </w:rPr>
        <w:t>24</w:t>
      </w:r>
      <w:r>
        <w:t xml:space="preserve"> mg/kg</w:t>
      </w:r>
      <w:r>
        <w:rPr>
          <w:rFonts w:hint="eastAsia"/>
        </w:rPr>
        <w:t>、</w:t>
      </w:r>
      <w:r>
        <w:t>0.0</w:t>
      </w:r>
      <w:r>
        <w:rPr>
          <w:rFonts w:hint="eastAsia"/>
        </w:rPr>
        <w:t>24</w:t>
      </w:r>
      <w:r>
        <w:t xml:space="preserve"> mg/kg</w:t>
      </w:r>
      <w:r>
        <w:rPr>
          <w:rFonts w:hint="eastAsia"/>
        </w:rPr>
        <w:t>、</w:t>
      </w:r>
      <w:r>
        <w:t>0.0</w:t>
      </w:r>
      <w:r>
        <w:rPr>
          <w:rFonts w:hint="eastAsia"/>
        </w:rPr>
        <w:t>24</w:t>
      </w:r>
      <w:r>
        <w:t xml:space="preserve"> mg/kg</w:t>
      </w:r>
      <w:r>
        <w:rPr>
          <w:rFonts w:hint="eastAsia"/>
        </w:rPr>
        <w:t>、</w:t>
      </w:r>
      <w:r>
        <w:t>0.0</w:t>
      </w:r>
      <w:r>
        <w:rPr>
          <w:rFonts w:hint="eastAsia"/>
        </w:rPr>
        <w:t>18</w:t>
      </w:r>
      <w:r>
        <w:t xml:space="preserve"> mg/kg。</w:t>
      </w:r>
    </w:p>
    <w:p w14:paraId="3EF95ED1">
      <w:pPr>
        <w:pStyle w:val="58"/>
        <w:bidi w:val="0"/>
      </w:pPr>
    </w:p>
    <w:p w14:paraId="40B3BEC7">
      <w:pPr>
        <w:pStyle w:val="58"/>
        <w:bidi w:val="0"/>
        <w:sectPr>
          <w:headerReference r:id="rId18" w:type="default"/>
          <w:footerReference r:id="rId20" w:type="default"/>
          <w:headerReference r:id="rId19" w:type="even"/>
          <w:footerReference r:id="rId21" w:type="even"/>
          <w:pgSz w:w="11906" w:h="16838"/>
          <w:pgMar w:top="1928" w:right="1134" w:bottom="1134" w:left="1134" w:header="1418" w:footer="1134" w:gutter="284"/>
          <w:pgNumType w:start="1"/>
          <w:cols w:space="425" w:num="1"/>
          <w:formProt w:val="0"/>
          <w:docGrid w:type="lines" w:linePitch="312" w:charSpace="0"/>
        </w:sectPr>
      </w:pPr>
    </w:p>
    <w:bookmarkEnd w:id="26"/>
    <w:p w14:paraId="2875671D">
      <w:pPr>
        <w:pStyle w:val="200"/>
        <w:numPr>
          <w:numId w:val="0"/>
        </w:numPr>
        <w:ind w:left="420" w:leftChars="0" w:firstLine="0" w:firstLineChars="0"/>
        <w:rPr>
          <w:vanish w:val="0"/>
        </w:rPr>
      </w:pPr>
      <w:bookmarkStart w:id="87" w:name="BookMark5"/>
      <w:r>
        <w:rPr>
          <w:rFonts w:hint="eastAsia" w:ascii="黑体" w:hAnsi="黑体" w:eastAsia="黑体" w:cs="Times New Roman"/>
          <w:vanish w:val="0"/>
          <w:sz w:val="2"/>
          <w:szCs w:val="21"/>
          <w:lang w:val="en-US" w:eastAsia="zh-CN" w:bidi="ar-SA"/>
        </w:rPr>
        <w:t>A</w:t>
      </w:r>
    </w:p>
    <w:p w14:paraId="2CB6C390">
      <w:pPr>
        <w:pStyle w:val="201"/>
        <w:rPr>
          <w:vanish w:val="0"/>
        </w:rPr>
      </w:pPr>
    </w:p>
    <w:p w14:paraId="5A2A2EF9">
      <w:pPr>
        <w:pStyle w:val="201"/>
        <w:bidi w:val="0"/>
      </w:pPr>
    </w:p>
    <w:p w14:paraId="323BE1FC">
      <w:pPr>
        <w:pStyle w:val="200"/>
        <w:numPr>
          <w:numId w:val="0"/>
        </w:numPr>
        <w:bidi w:val="0"/>
        <w:ind w:left="420" w:leftChars="0" w:firstLine="0" w:firstLineChars="0"/>
      </w:pPr>
      <w:r>
        <w:rPr>
          <w:rFonts w:hint="eastAsia" w:ascii="黑体" w:hAnsi="黑体" w:eastAsia="黑体" w:cs="Times New Roman"/>
          <w:vanish/>
          <w:sz w:val="2"/>
          <w:szCs w:val="21"/>
          <w:lang w:val="en-US" w:eastAsia="zh-CN" w:bidi="ar-SA"/>
        </w:rPr>
        <w:t>B</w:t>
      </w:r>
    </w:p>
    <w:p w14:paraId="04854E76">
      <w:pPr>
        <w:pStyle w:val="78"/>
        <w:bidi w:val="0"/>
      </w:pPr>
      <w:bookmarkStart w:id="88" w:name="_Toc26501"/>
      <w:bookmarkStart w:id="89" w:name="_GoBack"/>
      <w:r>
        <w:br w:type="textWrapping"/>
      </w:r>
      <w:bookmarkEnd w:id="89"/>
      <w:r>
        <w:rPr>
          <w:rFonts w:hint="eastAsia"/>
          <w:lang w:eastAsia="zh-CN"/>
        </w:rPr>
        <w:t>（资料性）</w:t>
      </w:r>
      <w:r>
        <w:rPr>
          <w:rFonts w:hint="eastAsia"/>
          <w:lang w:eastAsia="zh-CN"/>
        </w:rPr>
        <w:br w:type="textWrapping"/>
      </w:r>
      <w:r>
        <w:rPr>
          <w:rFonts w:hint="eastAsia"/>
          <w:lang w:eastAsia="zh-CN"/>
        </w:rPr>
        <w:t>LC-ICP/MS法色谱图</w:t>
      </w:r>
      <w:bookmarkEnd w:id="88"/>
    </w:p>
    <w:p w14:paraId="44CF9E10">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lang w:eastAsia="zh-CN"/>
        </w:rPr>
      </w:pPr>
      <w:r>
        <w:rPr>
          <w:rFonts w:hint="eastAsia" w:eastAsia="宋体"/>
          <w:lang w:eastAsia="zh-CN"/>
        </w:rPr>
        <w:drawing>
          <wp:inline distT="0" distB="0" distL="114300" distR="114300">
            <wp:extent cx="3771900" cy="3086100"/>
            <wp:effectExtent l="0" t="0" r="0" b="0"/>
            <wp:docPr id="5" name="图片 5" descr="19f91e41afbfdfd67b094b8addb"/>
            <wp:cNvGraphicFramePr/>
            <a:graphic xmlns:a="http://schemas.openxmlformats.org/drawingml/2006/main">
              <a:graphicData uri="http://schemas.openxmlformats.org/drawingml/2006/picture">
                <pic:pic xmlns:pic="http://schemas.openxmlformats.org/drawingml/2006/picture">
                  <pic:nvPicPr>
                    <pic:cNvPr id="5" name="图片 5" descr="19f91e41afbfdfd67b094b8addb"/>
                    <pic:cNvPicPr/>
                  </pic:nvPicPr>
                  <pic:blipFill>
                    <a:blip r:embed="rId29"/>
                    <a:stretch>
                      <a:fillRect/>
                    </a:stretch>
                  </pic:blipFill>
                  <pic:spPr>
                    <a:xfrm>
                      <a:off x="0" y="0"/>
                      <a:ext cx="3771900" cy="3086100"/>
                    </a:xfrm>
                    <a:prstGeom prst="rect">
                      <a:avLst/>
                    </a:prstGeom>
                  </pic:spPr>
                </pic:pic>
              </a:graphicData>
            </a:graphic>
          </wp:inline>
        </w:drawing>
      </w:r>
    </w:p>
    <w:p w14:paraId="2864AC02">
      <w:pPr>
        <w:pStyle w:val="85"/>
        <w:bidi w:val="0"/>
      </w:pPr>
      <w:r>
        <w:rPr>
          <w:rFonts w:hint="eastAsia"/>
          <w:lang w:eastAsia="zh-CN"/>
        </w:rPr>
        <w:t>C18柱6种硒形态标准溶液色谱图</w:t>
      </w:r>
    </w:p>
    <w:bookmarkEnd w:id="87"/>
    <w:p w14:paraId="3494ECA5">
      <w:pPr>
        <w:pStyle w:val="103"/>
        <w:bidi w:val="0"/>
        <w:ind w:left="539" w:leftChars="0" w:hanging="119" w:firstLineChars="0"/>
        <w:rPr>
          <w:rFonts w:hint="eastAsia"/>
          <w:lang w:eastAsia="zh-CN"/>
        </w:rPr>
      </w:pPr>
      <w:r>
        <w:rPr>
          <w:rFonts w:hint="eastAsia"/>
          <w:lang w:eastAsia="zh-CN"/>
        </w:rPr>
        <w:t>标引序号说明 :</w:t>
      </w:r>
    </w:p>
    <w:p w14:paraId="16F9598B">
      <w:pPr>
        <w:pStyle w:val="103"/>
        <w:bidi w:val="0"/>
        <w:ind w:left="539" w:leftChars="0" w:hanging="119" w:firstLineChars="0"/>
        <w:rPr>
          <w:rFonts w:hint="eastAsia"/>
          <w:lang w:eastAsia="zh-CN"/>
        </w:rPr>
      </w:pPr>
      <w:r>
        <w:rPr>
          <w:rFonts w:hint="eastAsia"/>
          <w:lang w:eastAsia="zh-CN"/>
        </w:rPr>
        <w:t>1——硒代胱氨酸[SeCys2]；</w:t>
      </w:r>
    </w:p>
    <w:p w14:paraId="280FD6AF">
      <w:pPr>
        <w:pStyle w:val="103"/>
        <w:bidi w:val="0"/>
        <w:ind w:left="539" w:leftChars="0" w:hanging="119" w:firstLineChars="0"/>
        <w:rPr>
          <w:rFonts w:hint="eastAsia"/>
          <w:lang w:eastAsia="zh-CN"/>
        </w:rPr>
      </w:pPr>
      <w:r>
        <w:rPr>
          <w:rFonts w:hint="eastAsia"/>
          <w:lang w:eastAsia="zh-CN"/>
        </w:rPr>
        <w:t>2——甲基-硒代半胱氨酸[MeSeCys]；</w:t>
      </w:r>
    </w:p>
    <w:p w14:paraId="1FD713BC">
      <w:pPr>
        <w:pStyle w:val="103"/>
        <w:bidi w:val="0"/>
        <w:ind w:left="539" w:leftChars="0" w:hanging="119" w:firstLineChars="0"/>
        <w:rPr>
          <w:rFonts w:hint="eastAsia"/>
          <w:lang w:eastAsia="zh-CN"/>
        </w:rPr>
      </w:pPr>
      <w:r>
        <w:rPr>
          <w:rFonts w:hint="eastAsia"/>
          <w:lang w:eastAsia="zh-CN"/>
        </w:rPr>
        <w:t>3——亚硒酸根标准溶液[Se(Ⅳ)]；</w:t>
      </w:r>
    </w:p>
    <w:p w14:paraId="1F769BC0">
      <w:pPr>
        <w:pStyle w:val="103"/>
        <w:bidi w:val="0"/>
        <w:ind w:left="539" w:leftChars="0" w:hanging="119" w:firstLineChars="0"/>
        <w:rPr>
          <w:rFonts w:hint="eastAsia"/>
          <w:lang w:eastAsia="zh-CN"/>
        </w:rPr>
      </w:pPr>
      <w:r>
        <w:rPr>
          <w:rFonts w:hint="eastAsia"/>
          <w:lang w:eastAsia="zh-CN"/>
        </w:rPr>
        <w:t>4——硒代蛋氨酸[SeMet]；</w:t>
      </w:r>
    </w:p>
    <w:p w14:paraId="4CEE4ECE">
      <w:pPr>
        <w:pStyle w:val="103"/>
        <w:bidi w:val="0"/>
        <w:ind w:left="539" w:leftChars="0" w:hanging="119" w:firstLineChars="0"/>
        <w:rPr>
          <w:rFonts w:hint="eastAsia"/>
          <w:lang w:eastAsia="zh-CN"/>
        </w:rPr>
      </w:pPr>
      <w:r>
        <w:rPr>
          <w:rFonts w:hint="eastAsia"/>
          <w:lang w:eastAsia="zh-CN"/>
        </w:rPr>
        <w:t>5——硒酸根标准溶液[Se(Ⅵ)]；</w:t>
      </w:r>
    </w:p>
    <w:p w14:paraId="461F0FA8">
      <w:pPr>
        <w:pStyle w:val="103"/>
        <w:bidi w:val="0"/>
        <w:ind w:left="539" w:leftChars="0" w:hanging="119" w:firstLineChars="0"/>
        <w:rPr>
          <w:rFonts w:hint="eastAsia"/>
          <w:lang w:eastAsia="zh-CN"/>
        </w:rPr>
      </w:pPr>
      <w:r>
        <w:rPr>
          <w:rFonts w:hint="eastAsia"/>
          <w:lang w:eastAsia="zh-CN"/>
        </w:rPr>
        <w:t>6——硒代乙硫氨酸[SeEt]。</w:t>
      </w:r>
    </w:p>
    <w:p w14:paraId="0C5691BA">
      <w:pPr>
        <w:pStyle w:val="58"/>
        <w:rPr>
          <w:rFonts w:hint="eastAsia"/>
          <w:lang w:eastAsia="zh-CN"/>
        </w:rPr>
      </w:pPr>
    </w:p>
    <w:p w14:paraId="78F66D73">
      <w:pPr>
        <w:pStyle w:val="58"/>
        <w:jc w:val="center"/>
        <w:rPr>
          <w:rFonts w:hint="eastAsia"/>
          <w:lang w:eastAsia="zh-CN"/>
        </w:rPr>
      </w:pPr>
      <w:r>
        <w:rPr>
          <w:rFonts w:hint="eastAsia"/>
          <w:lang w:eastAsia="zh-CN"/>
        </w:rPr>
        <w:drawing>
          <wp:inline distT="0" distB="0" distL="114300" distR="114300">
            <wp:extent cx="1487170" cy="316865"/>
            <wp:effectExtent l="0" t="0" r="6350" b="3175"/>
            <wp:docPr id="8" name="图片 8" descr="endline"/>
            <wp:cNvGraphicFramePr/>
            <a:graphic xmlns:a="http://schemas.openxmlformats.org/drawingml/2006/main">
              <a:graphicData uri="http://schemas.openxmlformats.org/drawingml/2006/picture">
                <pic:pic xmlns:pic="http://schemas.openxmlformats.org/drawingml/2006/picture">
                  <pic:nvPicPr>
                    <pic:cNvPr id="8" name="图片 8" descr="endline"/>
                    <pic:cNvPicPr/>
                  </pic:nvPicPr>
                  <pic:blipFill>
                    <a:blip r:embed="rId30"/>
                    <a:stretch>
                      <a:fillRect/>
                    </a:stretch>
                  </pic:blipFill>
                  <pic:spPr>
                    <a:xfrm>
                      <a:off x="0" y="0"/>
                      <a:ext cx="1487170" cy="316865"/>
                    </a:xfrm>
                    <a:prstGeom prst="rect">
                      <a:avLst/>
                    </a:prstGeom>
                  </pic:spPr>
                </pic:pic>
              </a:graphicData>
            </a:graphic>
          </wp:inline>
        </w:drawing>
      </w:r>
    </w:p>
    <w:sectPr>
      <w:headerReference r:id="rId22" w:type="default"/>
      <w:footerReference r:id="rId23" w:type="default"/>
      <w:pgSz w:w="11906" w:h="16838"/>
      <w:pgMar w:top="1928" w:right="1134" w:bottom="1134" w:left="1134" w:header="1418" w:footer="1134" w:gutter="284"/>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D1EE">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3AD6E">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6DB20">
    <w:pPr>
      <w:pStyle w:val="54"/>
      <w:bidi w:val="0"/>
    </w:pPr>
    <w:r>
      <w:fldChar w:fldCharType="begin"/>
    </w:r>
    <w:r>
      <w:instrText xml:space="preserve"> PAGE   \* Roman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FD18">
    <w:pPr>
      <w:pStyle w:val="53"/>
    </w:pPr>
    <w:r>
      <w:fldChar w:fldCharType="begin"/>
    </w:r>
    <w:r>
      <w:instrText xml:space="preserve"> PAGE   \* Roman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CC9C8">
    <w:pPr>
      <w:pStyle w:val="54"/>
      <w:bidi w:val="0"/>
    </w:pPr>
    <w:r>
      <w:fldChar w:fldCharType="begin"/>
    </w:r>
    <w:r>
      <w:instrText xml:space="preserve"> PAGE   \* Roman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1FF0B">
    <w:pPr>
      <w:pStyle w:val="53"/>
    </w:pPr>
    <w:r>
      <w:fldChar w:fldCharType="begin"/>
    </w:r>
    <w:r>
      <w:instrText xml:space="preserve"> PAGE   \* Roman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00DE">
    <w:pPr>
      <w:pStyle w:val="54"/>
      <w:bidi w:val="0"/>
    </w:pPr>
    <w:r>
      <w:fldChar w:fldCharType="begin"/>
    </w:r>
    <w:r>
      <w:instrText xml:space="preserve"> PAGE   \* Arabic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65E9C">
    <w:pPr>
      <w:pStyle w:val="53"/>
    </w:pPr>
    <w:r>
      <w:fldChar w:fldCharType="begin"/>
    </w:r>
    <w:r>
      <w:instrText xml:space="preserve"> PAGE   \* Arabic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C567E">
    <w:pPr>
      <w:pStyle w:val="54"/>
      <w:bidi w:val="0"/>
    </w:pPr>
    <w:r>
      <w:fldChar w:fldCharType="begin"/>
    </w:r>
    <w:r>
      <w:instrText xml:space="preserve"> PAGE   \* Arabic </w:instrText>
    </w:r>
    <w:r>
      <w:fldChar w:fldCharType="separate"/>
    </w:r>
    <w: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37FCE">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7D98F">
    <w:pPr>
      <w:pStyle w:val="63"/>
      <w:rPr>
        <w:rFonts w:hint="eastAsia" w:eastAsia="黑体"/>
        <w:lang w:eastAsia="zh-CN"/>
      </w:rPr>
    </w:pPr>
    <w:r>
      <w:rPr>
        <w:rFonts w:hint="eastAsia"/>
        <w:lang w:eastAsia="zh-CN"/>
      </w:rPr>
      <w:t>T/GXAS 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6B580">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9954E">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3DFC1">
    <w:pPr>
      <w:pStyle w:val="63"/>
      <w:rPr>
        <w:rFonts w:hint="eastAsia" w:eastAsia="黑体"/>
        <w:lang w:eastAsia="zh-CN"/>
      </w:rPr>
    </w:pPr>
    <w:r>
      <w:rPr>
        <w:rFonts w:hint="eastAsia"/>
        <w:lang w:eastAsia="zh-CN"/>
      </w:rPr>
      <w:t>T/GXAS 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BAD0D">
    <w:pPr>
      <w:pStyle w:val="64"/>
      <w:rPr>
        <w:rFonts w:hint="eastAsia" w:eastAsia="黑体"/>
        <w:lang w:eastAsia="zh-CN"/>
      </w:rPr>
    </w:pPr>
    <w:r>
      <w:rPr>
        <w:rFonts w:hint="eastAsia"/>
        <w:lang w:eastAsia="zh-CN"/>
      </w:rPr>
      <w:t>T/GXAS 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A8743">
    <w:pPr>
      <w:pStyle w:val="63"/>
      <w:rPr>
        <w:rFonts w:hint="eastAsia" w:eastAsia="黑体"/>
        <w:lang w:eastAsia="zh-CN"/>
      </w:rPr>
    </w:pPr>
    <w:r>
      <w:rPr>
        <w:rFonts w:hint="eastAsia"/>
        <w:lang w:eastAsia="zh-CN"/>
      </w:rPr>
      <w:t>T/GXAS 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10A9">
    <w:pPr>
      <w:pStyle w:val="64"/>
      <w:rPr>
        <w:rFonts w:hint="eastAsia" w:eastAsia="黑体"/>
        <w:lang w:eastAsia="zh-CN"/>
      </w:rPr>
    </w:pPr>
    <w:r>
      <w:rPr>
        <w:rFonts w:hint="eastAsia"/>
        <w:lang w:eastAsia="zh-CN"/>
      </w:rPr>
      <w:t>T/GXAS 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353C">
    <w:pPr>
      <w:pStyle w:val="63"/>
      <w:rPr>
        <w:rFonts w:hint="eastAsia" w:eastAsia="黑体"/>
        <w:lang w:eastAsia="zh-CN"/>
      </w:rPr>
    </w:pPr>
    <w:r>
      <w:rPr>
        <w:rFonts w:hint="eastAsia"/>
        <w:lang w:eastAsia="zh-CN"/>
      </w:rPr>
      <w:t>T/GXAS 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5CF34">
    <w:pPr>
      <w:pStyle w:val="64"/>
      <w:rPr>
        <w:rFonts w:hint="eastAsia" w:eastAsia="黑体"/>
        <w:lang w:eastAsia="zh-CN"/>
      </w:rPr>
    </w:pPr>
    <w:r>
      <w:rPr>
        <w:rFonts w:hint="eastAsia"/>
        <w:lang w:eastAsia="zh-CN"/>
      </w:rPr>
      <w:t>T/GXAS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B37BC"/>
    <w:multiLevelType w:val="multilevel"/>
    <w:tmpl w:val="B8DB37BC"/>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
    <w:nsid w:val="CA5648B7"/>
    <w:multiLevelType w:val="multilevel"/>
    <w:tmpl w:val="CA5648B7"/>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E7E55988"/>
    <w:multiLevelType w:val="multilevel"/>
    <w:tmpl w:val="E7E55988"/>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747F321"/>
    <w:multiLevelType w:val="multilevel"/>
    <w:tmpl w:val="7747F321"/>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3">
    <w:nsid w:val="7A181783"/>
    <w:multiLevelType w:val="multilevel"/>
    <w:tmpl w:val="7A181783"/>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3"/>
  </w:num>
  <w:num w:numId="2">
    <w:abstractNumId w:val="28"/>
  </w:num>
  <w:num w:numId="3">
    <w:abstractNumId w:val="8"/>
  </w:num>
  <w:num w:numId="4">
    <w:abstractNumId w:val="24"/>
  </w:num>
  <w:num w:numId="5">
    <w:abstractNumId w:val="19"/>
  </w:num>
  <w:num w:numId="6">
    <w:abstractNumId w:val="14"/>
  </w:num>
  <w:num w:numId="7">
    <w:abstractNumId w:val="11"/>
  </w:num>
  <w:num w:numId="8">
    <w:abstractNumId w:val="6"/>
  </w:num>
  <w:num w:numId="9">
    <w:abstractNumId w:val="12"/>
  </w:num>
  <w:num w:numId="10">
    <w:abstractNumId w:val="17"/>
  </w:num>
  <w:num w:numId="11">
    <w:abstractNumId w:val="26"/>
  </w:num>
  <w:num w:numId="12">
    <w:abstractNumId w:val="0"/>
  </w:num>
  <w:num w:numId="13">
    <w:abstractNumId w:val="32"/>
  </w:num>
  <w:num w:numId="14">
    <w:abstractNumId w:val="10"/>
  </w:num>
  <w:num w:numId="15">
    <w:abstractNumId w:val="20"/>
  </w:num>
  <w:num w:numId="16">
    <w:abstractNumId w:val="22"/>
  </w:num>
  <w:num w:numId="17">
    <w:abstractNumId w:val="18"/>
  </w:num>
  <w:num w:numId="18">
    <w:abstractNumId w:val="30"/>
  </w:num>
  <w:num w:numId="19">
    <w:abstractNumId w:val="16"/>
  </w:num>
  <w:num w:numId="20">
    <w:abstractNumId w:val="4"/>
  </w:num>
  <w:num w:numId="21">
    <w:abstractNumId w:val="13"/>
  </w:num>
  <w:num w:numId="22">
    <w:abstractNumId w:val="31"/>
  </w:num>
  <w:num w:numId="23">
    <w:abstractNumId w:val="21"/>
  </w:num>
  <w:num w:numId="24">
    <w:abstractNumId w:val="9"/>
  </w:num>
  <w:num w:numId="25">
    <w:abstractNumId w:val="27"/>
  </w:num>
  <w:num w:numId="26">
    <w:abstractNumId w:val="29"/>
  </w:num>
  <w:num w:numId="27">
    <w:abstractNumId w:val="5"/>
  </w:num>
  <w:num w:numId="28">
    <w:abstractNumId w:val="7"/>
  </w:num>
  <w:num w:numId="29">
    <w:abstractNumId w:val="15"/>
  </w:num>
  <w:num w:numId="30">
    <w:abstractNumId w:val="25"/>
  </w:num>
  <w:num w:numId="31">
    <w:abstractNumId w:val="2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Full" w:cryptAlgorithmClass="hash" w:cryptAlgorithmType="typeAny" w:cryptAlgorithmSid="4" w:cryptSpinCount="0" w:hash="EdpR8vUoY2cLxZqdUjAOD0DMMK8=" w:salt="PEhFTIDInxI89RPFmxXOM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0A"/>
    <w:rsid w:val="00000A94"/>
    <w:rsid w:val="00001972"/>
    <w:rsid w:val="00001D9A"/>
    <w:rsid w:val="00007B3A"/>
    <w:rsid w:val="000107E0"/>
    <w:rsid w:val="00011FDE"/>
    <w:rsid w:val="00012FFD"/>
    <w:rsid w:val="0001346A"/>
    <w:rsid w:val="00014162"/>
    <w:rsid w:val="00014340"/>
    <w:rsid w:val="00016A9C"/>
    <w:rsid w:val="000202BC"/>
    <w:rsid w:val="00022184"/>
    <w:rsid w:val="00022762"/>
    <w:rsid w:val="000238E0"/>
    <w:rsid w:val="000249DB"/>
    <w:rsid w:val="0002595E"/>
    <w:rsid w:val="000303C3"/>
    <w:rsid w:val="000331D3"/>
    <w:rsid w:val="000346A5"/>
    <w:rsid w:val="00034DA8"/>
    <w:rsid w:val="000359C3"/>
    <w:rsid w:val="00035A7D"/>
    <w:rsid w:val="000365ED"/>
    <w:rsid w:val="0004249A"/>
    <w:rsid w:val="000425DE"/>
    <w:rsid w:val="00043282"/>
    <w:rsid w:val="00044286"/>
    <w:rsid w:val="000456D2"/>
    <w:rsid w:val="0004659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1BC"/>
    <w:rsid w:val="00070F3D"/>
    <w:rsid w:val="00071CC0"/>
    <w:rsid w:val="00071CFC"/>
    <w:rsid w:val="00073C8C"/>
    <w:rsid w:val="00074E3C"/>
    <w:rsid w:val="00077B64"/>
    <w:rsid w:val="00080A1C"/>
    <w:rsid w:val="00082317"/>
    <w:rsid w:val="00083D2C"/>
    <w:rsid w:val="00086AA1"/>
    <w:rsid w:val="00087177"/>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804"/>
    <w:rsid w:val="000C2FBD"/>
    <w:rsid w:val="000C4B41"/>
    <w:rsid w:val="000C57D6"/>
    <w:rsid w:val="000C6362"/>
    <w:rsid w:val="000C7666"/>
    <w:rsid w:val="000D0A9C"/>
    <w:rsid w:val="000D1795"/>
    <w:rsid w:val="000D329A"/>
    <w:rsid w:val="000D4B9C"/>
    <w:rsid w:val="000D4EB6"/>
    <w:rsid w:val="000D753B"/>
    <w:rsid w:val="000E410F"/>
    <w:rsid w:val="000E4C9E"/>
    <w:rsid w:val="000E6FD7"/>
    <w:rsid w:val="000E7144"/>
    <w:rsid w:val="000F06E1"/>
    <w:rsid w:val="000F0E3C"/>
    <w:rsid w:val="000F19D5"/>
    <w:rsid w:val="000F4050"/>
    <w:rsid w:val="000F4AEA"/>
    <w:rsid w:val="000F67E9"/>
    <w:rsid w:val="000F7F16"/>
    <w:rsid w:val="00104926"/>
    <w:rsid w:val="00113B1E"/>
    <w:rsid w:val="00115AFD"/>
    <w:rsid w:val="0011711C"/>
    <w:rsid w:val="00124E4F"/>
    <w:rsid w:val="00124EF5"/>
    <w:rsid w:val="001260B7"/>
    <w:rsid w:val="001265CB"/>
    <w:rsid w:val="0013084E"/>
    <w:rsid w:val="001321C6"/>
    <w:rsid w:val="001325C4"/>
    <w:rsid w:val="00133010"/>
    <w:rsid w:val="001338EE"/>
    <w:rsid w:val="00133AAE"/>
    <w:rsid w:val="00135323"/>
    <w:rsid w:val="001356C4"/>
    <w:rsid w:val="00137565"/>
    <w:rsid w:val="00141114"/>
    <w:rsid w:val="0014232C"/>
    <w:rsid w:val="00142969"/>
    <w:rsid w:val="001446C2"/>
    <w:rsid w:val="001457E7"/>
    <w:rsid w:val="00145D9D"/>
    <w:rsid w:val="00146388"/>
    <w:rsid w:val="00146535"/>
    <w:rsid w:val="00146C06"/>
    <w:rsid w:val="00150C8A"/>
    <w:rsid w:val="001529E5"/>
    <w:rsid w:val="00152FB3"/>
    <w:rsid w:val="00153C7E"/>
    <w:rsid w:val="00154A4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5C"/>
    <w:rsid w:val="001A6696"/>
    <w:rsid w:val="001B06E8"/>
    <w:rsid w:val="001B4BE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66F"/>
    <w:rsid w:val="001F092D"/>
    <w:rsid w:val="001F0DCA"/>
    <w:rsid w:val="001F143A"/>
    <w:rsid w:val="001F1605"/>
    <w:rsid w:val="001F2508"/>
    <w:rsid w:val="001F4816"/>
    <w:rsid w:val="001F5518"/>
    <w:rsid w:val="001F69B4"/>
    <w:rsid w:val="001F77C7"/>
    <w:rsid w:val="00200183"/>
    <w:rsid w:val="00200333"/>
    <w:rsid w:val="0020107D"/>
    <w:rsid w:val="00202AA4"/>
    <w:rsid w:val="002031F7"/>
    <w:rsid w:val="002040E6"/>
    <w:rsid w:val="00204470"/>
    <w:rsid w:val="0020527B"/>
    <w:rsid w:val="00205F2C"/>
    <w:rsid w:val="00210B15"/>
    <w:rsid w:val="002124EE"/>
    <w:rsid w:val="002142EA"/>
    <w:rsid w:val="00215ADD"/>
    <w:rsid w:val="002204BB"/>
    <w:rsid w:val="00221B79"/>
    <w:rsid w:val="00221C6B"/>
    <w:rsid w:val="002253A1"/>
    <w:rsid w:val="00225CF8"/>
    <w:rsid w:val="0022794E"/>
    <w:rsid w:val="0023084C"/>
    <w:rsid w:val="00233D64"/>
    <w:rsid w:val="0023482A"/>
    <w:rsid w:val="002359CB"/>
    <w:rsid w:val="002414C3"/>
    <w:rsid w:val="002428CA"/>
    <w:rsid w:val="00243540"/>
    <w:rsid w:val="00243DB3"/>
    <w:rsid w:val="0024497B"/>
    <w:rsid w:val="0024515B"/>
    <w:rsid w:val="00246021"/>
    <w:rsid w:val="00246182"/>
    <w:rsid w:val="0024666E"/>
    <w:rsid w:val="00247F52"/>
    <w:rsid w:val="00250B25"/>
    <w:rsid w:val="00250BBE"/>
    <w:rsid w:val="002515C2"/>
    <w:rsid w:val="0025194F"/>
    <w:rsid w:val="0026046A"/>
    <w:rsid w:val="0026148A"/>
    <w:rsid w:val="00262696"/>
    <w:rsid w:val="00263D25"/>
    <w:rsid w:val="002643C3"/>
    <w:rsid w:val="00264A0C"/>
    <w:rsid w:val="00266D91"/>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728"/>
    <w:rsid w:val="002B7F51"/>
    <w:rsid w:val="002C09E7"/>
    <w:rsid w:val="002C1E06"/>
    <w:rsid w:val="002C3F07"/>
    <w:rsid w:val="002C5278"/>
    <w:rsid w:val="002C7EBB"/>
    <w:rsid w:val="002D06C1"/>
    <w:rsid w:val="002D2ED0"/>
    <w:rsid w:val="002D42B5"/>
    <w:rsid w:val="002D4F1A"/>
    <w:rsid w:val="002D6EC6"/>
    <w:rsid w:val="002D79AC"/>
    <w:rsid w:val="002E039D"/>
    <w:rsid w:val="002E14D6"/>
    <w:rsid w:val="002E4D5A"/>
    <w:rsid w:val="002E6326"/>
    <w:rsid w:val="002F0AA5"/>
    <w:rsid w:val="002F30E0"/>
    <w:rsid w:val="002F35E4"/>
    <w:rsid w:val="002F3730"/>
    <w:rsid w:val="002F38E1"/>
    <w:rsid w:val="002F7AF6"/>
    <w:rsid w:val="00300E63"/>
    <w:rsid w:val="00302F5F"/>
    <w:rsid w:val="0030441D"/>
    <w:rsid w:val="00304658"/>
    <w:rsid w:val="00306063"/>
    <w:rsid w:val="00313B85"/>
    <w:rsid w:val="0031432A"/>
    <w:rsid w:val="00317988"/>
    <w:rsid w:val="003221B4"/>
    <w:rsid w:val="0032258D"/>
    <w:rsid w:val="00322E62"/>
    <w:rsid w:val="00324D13"/>
    <w:rsid w:val="00324EDD"/>
    <w:rsid w:val="00325C21"/>
    <w:rsid w:val="00332B1A"/>
    <w:rsid w:val="003331E4"/>
    <w:rsid w:val="00333A05"/>
    <w:rsid w:val="00336C64"/>
    <w:rsid w:val="00337162"/>
    <w:rsid w:val="0034194F"/>
    <w:rsid w:val="00344605"/>
    <w:rsid w:val="003474AA"/>
    <w:rsid w:val="003478F7"/>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29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AAA"/>
    <w:rsid w:val="003B09AD"/>
    <w:rsid w:val="003B1F18"/>
    <w:rsid w:val="003B2E54"/>
    <w:rsid w:val="003B5BF0"/>
    <w:rsid w:val="003B5F02"/>
    <w:rsid w:val="003B60BF"/>
    <w:rsid w:val="003B6BE3"/>
    <w:rsid w:val="003C010C"/>
    <w:rsid w:val="003C05D5"/>
    <w:rsid w:val="003C05D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25"/>
    <w:rsid w:val="003F0841"/>
    <w:rsid w:val="003F23D3"/>
    <w:rsid w:val="003F3F08"/>
    <w:rsid w:val="003F49F1"/>
    <w:rsid w:val="003F594A"/>
    <w:rsid w:val="003F6272"/>
    <w:rsid w:val="003F73DB"/>
    <w:rsid w:val="00400E72"/>
    <w:rsid w:val="00401400"/>
    <w:rsid w:val="00404869"/>
    <w:rsid w:val="00405884"/>
    <w:rsid w:val="00407D39"/>
    <w:rsid w:val="0041477A"/>
    <w:rsid w:val="004167A3"/>
    <w:rsid w:val="00431053"/>
    <w:rsid w:val="0043124C"/>
    <w:rsid w:val="00432DAA"/>
    <w:rsid w:val="00434305"/>
    <w:rsid w:val="004351D1"/>
    <w:rsid w:val="00435DF7"/>
    <w:rsid w:val="0043741A"/>
    <w:rsid w:val="0044083F"/>
    <w:rsid w:val="00440A7F"/>
    <w:rsid w:val="004417B8"/>
    <w:rsid w:val="00441AE7"/>
    <w:rsid w:val="00441FF6"/>
    <w:rsid w:val="004428D6"/>
    <w:rsid w:val="00445574"/>
    <w:rsid w:val="004467FB"/>
    <w:rsid w:val="00452D6B"/>
    <w:rsid w:val="00454484"/>
    <w:rsid w:val="0045517B"/>
    <w:rsid w:val="00463B77"/>
    <w:rsid w:val="00463C7B"/>
    <w:rsid w:val="004644A6"/>
    <w:rsid w:val="004659BD"/>
    <w:rsid w:val="00470775"/>
    <w:rsid w:val="00472093"/>
    <w:rsid w:val="004746B1"/>
    <w:rsid w:val="0047583F"/>
    <w:rsid w:val="00475DE8"/>
    <w:rsid w:val="00481C44"/>
    <w:rsid w:val="00483192"/>
    <w:rsid w:val="00483AB1"/>
    <w:rsid w:val="00484936"/>
    <w:rsid w:val="00485C89"/>
    <w:rsid w:val="00486BE3"/>
    <w:rsid w:val="004905E4"/>
    <w:rsid w:val="00490A89"/>
    <w:rsid w:val="00490AB4"/>
    <w:rsid w:val="00492F02"/>
    <w:rsid w:val="004939AE"/>
    <w:rsid w:val="00494E77"/>
    <w:rsid w:val="004A12DF"/>
    <w:rsid w:val="004A1BA8"/>
    <w:rsid w:val="004A4B57"/>
    <w:rsid w:val="004A63FA"/>
    <w:rsid w:val="004A6A3D"/>
    <w:rsid w:val="004B0272"/>
    <w:rsid w:val="004B244C"/>
    <w:rsid w:val="004B2701"/>
    <w:rsid w:val="004B2E1B"/>
    <w:rsid w:val="004B3247"/>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936"/>
    <w:rsid w:val="004F391A"/>
    <w:rsid w:val="004F3CFB"/>
    <w:rsid w:val="004F6456"/>
    <w:rsid w:val="004F696E"/>
    <w:rsid w:val="004F6C71"/>
    <w:rsid w:val="00501139"/>
    <w:rsid w:val="005011AE"/>
    <w:rsid w:val="0050363E"/>
    <w:rsid w:val="005039BC"/>
    <w:rsid w:val="00503BD5"/>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32A"/>
    <w:rsid w:val="00541853"/>
    <w:rsid w:val="00542DA1"/>
    <w:rsid w:val="00543BDA"/>
    <w:rsid w:val="005441CC"/>
    <w:rsid w:val="005479DA"/>
    <w:rsid w:val="00547BCC"/>
    <w:rsid w:val="0055013B"/>
    <w:rsid w:val="00551AE6"/>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9D8"/>
    <w:rsid w:val="005A7FCE"/>
    <w:rsid w:val="005B0F3F"/>
    <w:rsid w:val="005B12E1"/>
    <w:rsid w:val="005B191C"/>
    <w:rsid w:val="005B4903"/>
    <w:rsid w:val="005B51CE"/>
    <w:rsid w:val="005B5885"/>
    <w:rsid w:val="005B5CD7"/>
    <w:rsid w:val="005B6CF6"/>
    <w:rsid w:val="005B7422"/>
    <w:rsid w:val="005C13C5"/>
    <w:rsid w:val="005C29B8"/>
    <w:rsid w:val="005C407E"/>
    <w:rsid w:val="005C5F21"/>
    <w:rsid w:val="005C7156"/>
    <w:rsid w:val="005D0C75"/>
    <w:rsid w:val="005D4171"/>
    <w:rsid w:val="005D6A95"/>
    <w:rsid w:val="005D6B2C"/>
    <w:rsid w:val="005D6D9C"/>
    <w:rsid w:val="005E1775"/>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0594"/>
    <w:rsid w:val="00632182"/>
    <w:rsid w:val="00632AE0"/>
    <w:rsid w:val="00633C17"/>
    <w:rsid w:val="00634D9E"/>
    <w:rsid w:val="00636E3E"/>
    <w:rsid w:val="006379F7"/>
    <w:rsid w:val="00637E4D"/>
    <w:rsid w:val="00640620"/>
    <w:rsid w:val="00641A1F"/>
    <w:rsid w:val="00645904"/>
    <w:rsid w:val="006504D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139"/>
    <w:rsid w:val="006770F4"/>
    <w:rsid w:val="00677A84"/>
    <w:rsid w:val="0068026D"/>
    <w:rsid w:val="00680A27"/>
    <w:rsid w:val="006816A4"/>
    <w:rsid w:val="006819B8"/>
    <w:rsid w:val="00681AF4"/>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3FB6"/>
    <w:rsid w:val="006D4515"/>
    <w:rsid w:val="006D4BB1"/>
    <w:rsid w:val="006D6593"/>
    <w:rsid w:val="006E4B94"/>
    <w:rsid w:val="006F03A8"/>
    <w:rsid w:val="006F07A9"/>
    <w:rsid w:val="006F2ACA"/>
    <w:rsid w:val="006F2ADC"/>
    <w:rsid w:val="006F2BFE"/>
    <w:rsid w:val="006F31E9"/>
    <w:rsid w:val="006F3357"/>
    <w:rsid w:val="006F6284"/>
    <w:rsid w:val="007002C5"/>
    <w:rsid w:val="00704387"/>
    <w:rsid w:val="00707669"/>
    <w:rsid w:val="00711CBA"/>
    <w:rsid w:val="00711FB5"/>
    <w:rsid w:val="00712A01"/>
    <w:rsid w:val="007133DF"/>
    <w:rsid w:val="00714F58"/>
    <w:rsid w:val="00722FBF"/>
    <w:rsid w:val="00722FC2"/>
    <w:rsid w:val="00724E1B"/>
    <w:rsid w:val="00725949"/>
    <w:rsid w:val="00727FA2"/>
    <w:rsid w:val="007322D9"/>
    <w:rsid w:val="00732BC0"/>
    <w:rsid w:val="0073720F"/>
    <w:rsid w:val="00737796"/>
    <w:rsid w:val="0074165C"/>
    <w:rsid w:val="0074268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F1F"/>
    <w:rsid w:val="00761FCE"/>
    <w:rsid w:val="00765C43"/>
    <w:rsid w:val="00765EFB"/>
    <w:rsid w:val="00766849"/>
    <w:rsid w:val="007671CA"/>
    <w:rsid w:val="00767C61"/>
    <w:rsid w:val="0077008A"/>
    <w:rsid w:val="00773C1F"/>
    <w:rsid w:val="00774DA4"/>
    <w:rsid w:val="00776599"/>
    <w:rsid w:val="0078114B"/>
    <w:rsid w:val="00781DD2"/>
    <w:rsid w:val="00783ECF"/>
    <w:rsid w:val="0078413A"/>
    <w:rsid w:val="00784A5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AF0"/>
    <w:rsid w:val="007F0ED8"/>
    <w:rsid w:val="007F0F63"/>
    <w:rsid w:val="007F1330"/>
    <w:rsid w:val="007F64BC"/>
    <w:rsid w:val="007F65AA"/>
    <w:rsid w:val="007F75CE"/>
    <w:rsid w:val="008013A4"/>
    <w:rsid w:val="008027CE"/>
    <w:rsid w:val="00802F42"/>
    <w:rsid w:val="00803ACB"/>
    <w:rsid w:val="00804383"/>
    <w:rsid w:val="00804BB7"/>
    <w:rsid w:val="00804D41"/>
    <w:rsid w:val="008068E8"/>
    <w:rsid w:val="00810257"/>
    <w:rsid w:val="008104F5"/>
    <w:rsid w:val="00810574"/>
    <w:rsid w:val="00811072"/>
    <w:rsid w:val="00811369"/>
    <w:rsid w:val="00815419"/>
    <w:rsid w:val="008163C8"/>
    <w:rsid w:val="008164A1"/>
    <w:rsid w:val="00817325"/>
    <w:rsid w:val="008209E6"/>
    <w:rsid w:val="00821D19"/>
    <w:rsid w:val="0082235F"/>
    <w:rsid w:val="00823303"/>
    <w:rsid w:val="008233B2"/>
    <w:rsid w:val="00823A9F"/>
    <w:rsid w:val="00823C85"/>
    <w:rsid w:val="00824C63"/>
    <w:rsid w:val="00825138"/>
    <w:rsid w:val="008269DD"/>
    <w:rsid w:val="00827755"/>
    <w:rsid w:val="00830621"/>
    <w:rsid w:val="0083348C"/>
    <w:rsid w:val="008373C7"/>
    <w:rsid w:val="008373D3"/>
    <w:rsid w:val="00840617"/>
    <w:rsid w:val="00840F84"/>
    <w:rsid w:val="00841C9A"/>
    <w:rsid w:val="00842A47"/>
    <w:rsid w:val="00843C13"/>
    <w:rsid w:val="00843DEF"/>
    <w:rsid w:val="008454F8"/>
    <w:rsid w:val="0085173A"/>
    <w:rsid w:val="008600EC"/>
    <w:rsid w:val="008603CE"/>
    <w:rsid w:val="008620FC"/>
    <w:rsid w:val="008627A5"/>
    <w:rsid w:val="00863E05"/>
    <w:rsid w:val="00865ACA"/>
    <w:rsid w:val="00865D28"/>
    <w:rsid w:val="00865F85"/>
    <w:rsid w:val="0086794A"/>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662"/>
    <w:rsid w:val="008A57E6"/>
    <w:rsid w:val="008A6F81"/>
    <w:rsid w:val="008A769A"/>
    <w:rsid w:val="008B0C9C"/>
    <w:rsid w:val="008B166D"/>
    <w:rsid w:val="008B17F4"/>
    <w:rsid w:val="008B3521"/>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1E2"/>
    <w:rsid w:val="009062E6"/>
    <w:rsid w:val="00911BE5"/>
    <w:rsid w:val="00913CA9"/>
    <w:rsid w:val="009145AE"/>
    <w:rsid w:val="009146CE"/>
    <w:rsid w:val="00914CA7"/>
    <w:rsid w:val="00915C3E"/>
    <w:rsid w:val="009161A8"/>
    <w:rsid w:val="0092057F"/>
    <w:rsid w:val="00924411"/>
    <w:rsid w:val="009245AE"/>
    <w:rsid w:val="009245F5"/>
    <w:rsid w:val="009249EC"/>
    <w:rsid w:val="009273B3"/>
    <w:rsid w:val="009305B5"/>
    <w:rsid w:val="009310DE"/>
    <w:rsid w:val="009343C4"/>
    <w:rsid w:val="009378DD"/>
    <w:rsid w:val="009429D5"/>
    <w:rsid w:val="00942BF1"/>
    <w:rsid w:val="00945180"/>
    <w:rsid w:val="00945428"/>
    <w:rsid w:val="0094607B"/>
    <w:rsid w:val="0095007A"/>
    <w:rsid w:val="00951CC3"/>
    <w:rsid w:val="00952E97"/>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C4A"/>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937"/>
    <w:rsid w:val="009E0F62"/>
    <w:rsid w:val="009E3A5A"/>
    <w:rsid w:val="009E4A58"/>
    <w:rsid w:val="009E5A2D"/>
    <w:rsid w:val="009E5AB2"/>
    <w:rsid w:val="009E6219"/>
    <w:rsid w:val="009E731D"/>
    <w:rsid w:val="009E7FCC"/>
    <w:rsid w:val="009F03B3"/>
    <w:rsid w:val="009F7297"/>
    <w:rsid w:val="00A0096C"/>
    <w:rsid w:val="00A01757"/>
    <w:rsid w:val="00A01BE8"/>
    <w:rsid w:val="00A028C0"/>
    <w:rsid w:val="00A02BAE"/>
    <w:rsid w:val="00A06A6B"/>
    <w:rsid w:val="00A0760E"/>
    <w:rsid w:val="00A07E47"/>
    <w:rsid w:val="00A129D0"/>
    <w:rsid w:val="00A12C33"/>
    <w:rsid w:val="00A12CD0"/>
    <w:rsid w:val="00A138BA"/>
    <w:rsid w:val="00A14257"/>
    <w:rsid w:val="00A14C8E"/>
    <w:rsid w:val="00A153D9"/>
    <w:rsid w:val="00A15F09"/>
    <w:rsid w:val="00A169B6"/>
    <w:rsid w:val="00A2271D"/>
    <w:rsid w:val="00A237D5"/>
    <w:rsid w:val="00A260FA"/>
    <w:rsid w:val="00A30EFC"/>
    <w:rsid w:val="00A31984"/>
    <w:rsid w:val="00A32D73"/>
    <w:rsid w:val="00A3367B"/>
    <w:rsid w:val="00A33C67"/>
    <w:rsid w:val="00A351C8"/>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A5F"/>
    <w:rsid w:val="00A57142"/>
    <w:rsid w:val="00A648CD"/>
    <w:rsid w:val="00A649AB"/>
    <w:rsid w:val="00A64AB3"/>
    <w:rsid w:val="00A6537A"/>
    <w:rsid w:val="00A67866"/>
    <w:rsid w:val="00A70B07"/>
    <w:rsid w:val="00A71227"/>
    <w:rsid w:val="00A723F8"/>
    <w:rsid w:val="00A77CCB"/>
    <w:rsid w:val="00A83D8D"/>
    <w:rsid w:val="00A8446B"/>
    <w:rsid w:val="00A8473F"/>
    <w:rsid w:val="00A862D6"/>
    <w:rsid w:val="00A86C69"/>
    <w:rsid w:val="00A8715E"/>
    <w:rsid w:val="00A9295B"/>
    <w:rsid w:val="00A937DD"/>
    <w:rsid w:val="00A93B09"/>
    <w:rsid w:val="00A952D7"/>
    <w:rsid w:val="00A963F7"/>
    <w:rsid w:val="00A96AD8"/>
    <w:rsid w:val="00AA052C"/>
    <w:rsid w:val="00AA1E45"/>
    <w:rsid w:val="00AA4286"/>
    <w:rsid w:val="00AA456B"/>
    <w:rsid w:val="00AA473B"/>
    <w:rsid w:val="00AA57F5"/>
    <w:rsid w:val="00AA672E"/>
    <w:rsid w:val="00AA6EC9"/>
    <w:rsid w:val="00AB6309"/>
    <w:rsid w:val="00AB6C5F"/>
    <w:rsid w:val="00AB7129"/>
    <w:rsid w:val="00AC1AF7"/>
    <w:rsid w:val="00AC27A6"/>
    <w:rsid w:val="00AC30F7"/>
    <w:rsid w:val="00AC3A5A"/>
    <w:rsid w:val="00AC3B8E"/>
    <w:rsid w:val="00AC4D95"/>
    <w:rsid w:val="00AC5DF4"/>
    <w:rsid w:val="00AD0AEF"/>
    <w:rsid w:val="00AD11B7"/>
    <w:rsid w:val="00AD1A94"/>
    <w:rsid w:val="00AD1C05"/>
    <w:rsid w:val="00AD4009"/>
    <w:rsid w:val="00AD4126"/>
    <w:rsid w:val="00AD421C"/>
    <w:rsid w:val="00AD44FA"/>
    <w:rsid w:val="00AE070A"/>
    <w:rsid w:val="00AE101C"/>
    <w:rsid w:val="00AE2A69"/>
    <w:rsid w:val="00AE37E5"/>
    <w:rsid w:val="00AE5EB4"/>
    <w:rsid w:val="00AF0C18"/>
    <w:rsid w:val="00AF47C5"/>
    <w:rsid w:val="00AF5398"/>
    <w:rsid w:val="00B0076A"/>
    <w:rsid w:val="00B049AF"/>
    <w:rsid w:val="00B07242"/>
    <w:rsid w:val="00B10534"/>
    <w:rsid w:val="00B113DB"/>
    <w:rsid w:val="00B11D8A"/>
    <w:rsid w:val="00B12981"/>
    <w:rsid w:val="00B147DD"/>
    <w:rsid w:val="00B14D19"/>
    <w:rsid w:val="00B156FD"/>
    <w:rsid w:val="00B200A0"/>
    <w:rsid w:val="00B21F61"/>
    <w:rsid w:val="00B261F1"/>
    <w:rsid w:val="00B265BC"/>
    <w:rsid w:val="00B26801"/>
    <w:rsid w:val="00B31FB1"/>
    <w:rsid w:val="00B33952"/>
    <w:rsid w:val="00B33C5E"/>
    <w:rsid w:val="00B342F4"/>
    <w:rsid w:val="00B34369"/>
    <w:rsid w:val="00B34DC2"/>
    <w:rsid w:val="00B378E5"/>
    <w:rsid w:val="00B4346D"/>
    <w:rsid w:val="00B440F4"/>
    <w:rsid w:val="00B447A5"/>
    <w:rsid w:val="00B4654C"/>
    <w:rsid w:val="00B47293"/>
    <w:rsid w:val="00B50741"/>
    <w:rsid w:val="00B50E50"/>
    <w:rsid w:val="00B52120"/>
    <w:rsid w:val="00B54ABC"/>
    <w:rsid w:val="00B56FBE"/>
    <w:rsid w:val="00B57F36"/>
    <w:rsid w:val="00B60ACF"/>
    <w:rsid w:val="00B62B58"/>
    <w:rsid w:val="00B65149"/>
    <w:rsid w:val="00B66567"/>
    <w:rsid w:val="00B66F52"/>
    <w:rsid w:val="00B66FE5"/>
    <w:rsid w:val="00B71277"/>
    <w:rsid w:val="00B72880"/>
    <w:rsid w:val="00B758BF"/>
    <w:rsid w:val="00B77EC8"/>
    <w:rsid w:val="00B77FD5"/>
    <w:rsid w:val="00B827A6"/>
    <w:rsid w:val="00B831CE"/>
    <w:rsid w:val="00B86677"/>
    <w:rsid w:val="00B87131"/>
    <w:rsid w:val="00B916B3"/>
    <w:rsid w:val="00B939B1"/>
    <w:rsid w:val="00B95040"/>
    <w:rsid w:val="00B96D40"/>
    <w:rsid w:val="00B97386"/>
    <w:rsid w:val="00BA263B"/>
    <w:rsid w:val="00BA360C"/>
    <w:rsid w:val="00BA42B2"/>
    <w:rsid w:val="00BA58D4"/>
    <w:rsid w:val="00BA5B9E"/>
    <w:rsid w:val="00BA7C9A"/>
    <w:rsid w:val="00BB5F8F"/>
    <w:rsid w:val="00BB657A"/>
    <w:rsid w:val="00BB783F"/>
    <w:rsid w:val="00BC030B"/>
    <w:rsid w:val="00BC1A4E"/>
    <w:rsid w:val="00BC1BD9"/>
    <w:rsid w:val="00BC5DC7"/>
    <w:rsid w:val="00BC6B8B"/>
    <w:rsid w:val="00BC73D8"/>
    <w:rsid w:val="00BD1109"/>
    <w:rsid w:val="00BD52D7"/>
    <w:rsid w:val="00BD5AD2"/>
    <w:rsid w:val="00BE22F3"/>
    <w:rsid w:val="00BE5B52"/>
    <w:rsid w:val="00BE7B8D"/>
    <w:rsid w:val="00BF0993"/>
    <w:rsid w:val="00BF10A9"/>
    <w:rsid w:val="00BF1703"/>
    <w:rsid w:val="00BF231C"/>
    <w:rsid w:val="00BF51E5"/>
    <w:rsid w:val="00BF74A6"/>
    <w:rsid w:val="00BF79A0"/>
    <w:rsid w:val="00C013AD"/>
    <w:rsid w:val="00C020C9"/>
    <w:rsid w:val="00C04904"/>
    <w:rsid w:val="00C056B3"/>
    <w:rsid w:val="00C103E5"/>
    <w:rsid w:val="00C13319"/>
    <w:rsid w:val="00C13EE9"/>
    <w:rsid w:val="00C21540"/>
    <w:rsid w:val="00C21906"/>
    <w:rsid w:val="00C21BFA"/>
    <w:rsid w:val="00C24C8D"/>
    <w:rsid w:val="00C25FE2"/>
    <w:rsid w:val="00C26B53"/>
    <w:rsid w:val="00C279B2"/>
    <w:rsid w:val="00C31BF5"/>
    <w:rsid w:val="00C33E50"/>
    <w:rsid w:val="00C34C20"/>
    <w:rsid w:val="00C35A3E"/>
    <w:rsid w:val="00C363CF"/>
    <w:rsid w:val="00C40555"/>
    <w:rsid w:val="00C42130"/>
    <w:rsid w:val="00C423A4"/>
    <w:rsid w:val="00C423E3"/>
    <w:rsid w:val="00C44BF5"/>
    <w:rsid w:val="00C521D6"/>
    <w:rsid w:val="00C55232"/>
    <w:rsid w:val="00C553A4"/>
    <w:rsid w:val="00C55A06"/>
    <w:rsid w:val="00C55D03"/>
    <w:rsid w:val="00C601BC"/>
    <w:rsid w:val="00C6329F"/>
    <w:rsid w:val="00C63340"/>
    <w:rsid w:val="00C63547"/>
    <w:rsid w:val="00C643F9"/>
    <w:rsid w:val="00C64E95"/>
    <w:rsid w:val="00C71372"/>
    <w:rsid w:val="00C72410"/>
    <w:rsid w:val="00C7287F"/>
    <w:rsid w:val="00C73E88"/>
    <w:rsid w:val="00C80A07"/>
    <w:rsid w:val="00C80CB8"/>
    <w:rsid w:val="00C819F8"/>
    <w:rsid w:val="00C8248C"/>
    <w:rsid w:val="00C84E33"/>
    <w:rsid w:val="00C86D6F"/>
    <w:rsid w:val="00C905FC"/>
    <w:rsid w:val="00C92D03"/>
    <w:rsid w:val="00C9319C"/>
    <w:rsid w:val="00C940CA"/>
    <w:rsid w:val="00C9435D"/>
    <w:rsid w:val="00C94DF2"/>
    <w:rsid w:val="00C96741"/>
    <w:rsid w:val="00CA2D1B"/>
    <w:rsid w:val="00CA375D"/>
    <w:rsid w:val="00CA662A"/>
    <w:rsid w:val="00CA7AFD"/>
    <w:rsid w:val="00CA7C3C"/>
    <w:rsid w:val="00CB0189"/>
    <w:rsid w:val="00CB0BA2"/>
    <w:rsid w:val="00CB1A42"/>
    <w:rsid w:val="00CB1B0C"/>
    <w:rsid w:val="00CB2C0B"/>
    <w:rsid w:val="00CB454E"/>
    <w:rsid w:val="00CB517D"/>
    <w:rsid w:val="00CB778F"/>
    <w:rsid w:val="00CC038D"/>
    <w:rsid w:val="00CC08DB"/>
    <w:rsid w:val="00CC248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FD9"/>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458"/>
    <w:rsid w:val="00D20737"/>
    <w:rsid w:val="00D21E81"/>
    <w:rsid w:val="00D223DE"/>
    <w:rsid w:val="00D25E37"/>
    <w:rsid w:val="00D2661A"/>
    <w:rsid w:val="00D270B3"/>
    <w:rsid w:val="00D27582"/>
    <w:rsid w:val="00D27EC4"/>
    <w:rsid w:val="00D32719"/>
    <w:rsid w:val="00D32EB7"/>
    <w:rsid w:val="00D33333"/>
    <w:rsid w:val="00D352A2"/>
    <w:rsid w:val="00D4162B"/>
    <w:rsid w:val="00D44093"/>
    <w:rsid w:val="00D4514F"/>
    <w:rsid w:val="00D451E2"/>
    <w:rsid w:val="00D45E89"/>
    <w:rsid w:val="00D45E8D"/>
    <w:rsid w:val="00D466AE"/>
    <w:rsid w:val="00D4734F"/>
    <w:rsid w:val="00D51BF3"/>
    <w:rsid w:val="00D549CA"/>
    <w:rsid w:val="00D551C2"/>
    <w:rsid w:val="00D66846"/>
    <w:rsid w:val="00D675FB"/>
    <w:rsid w:val="00D71F25"/>
    <w:rsid w:val="00D71FB3"/>
    <w:rsid w:val="00D723F3"/>
    <w:rsid w:val="00D72A9C"/>
    <w:rsid w:val="00D739BF"/>
    <w:rsid w:val="00D77031"/>
    <w:rsid w:val="00D80ABD"/>
    <w:rsid w:val="00D84941"/>
    <w:rsid w:val="00D84FA1"/>
    <w:rsid w:val="00D851F0"/>
    <w:rsid w:val="00D86DB7"/>
    <w:rsid w:val="00D87BF5"/>
    <w:rsid w:val="00D90721"/>
    <w:rsid w:val="00D926D0"/>
    <w:rsid w:val="00D93030"/>
    <w:rsid w:val="00D93CDB"/>
    <w:rsid w:val="00D950E1"/>
    <w:rsid w:val="00D952A6"/>
    <w:rsid w:val="00D97F99"/>
    <w:rsid w:val="00DA1E08"/>
    <w:rsid w:val="00DA24F8"/>
    <w:rsid w:val="00DA28E8"/>
    <w:rsid w:val="00DA2E6A"/>
    <w:rsid w:val="00DA38D3"/>
    <w:rsid w:val="00DA3932"/>
    <w:rsid w:val="00DA3AFC"/>
    <w:rsid w:val="00DA3CEC"/>
    <w:rsid w:val="00DA64F8"/>
    <w:rsid w:val="00DA6C15"/>
    <w:rsid w:val="00DB0258"/>
    <w:rsid w:val="00DB38EE"/>
    <w:rsid w:val="00DB4279"/>
    <w:rsid w:val="00DB498B"/>
    <w:rsid w:val="00DB54E5"/>
    <w:rsid w:val="00DB66CA"/>
    <w:rsid w:val="00DB6BCA"/>
    <w:rsid w:val="00DB6F54"/>
    <w:rsid w:val="00DB73F7"/>
    <w:rsid w:val="00DC0321"/>
    <w:rsid w:val="00DC3067"/>
    <w:rsid w:val="00DC370B"/>
    <w:rsid w:val="00DC5B90"/>
    <w:rsid w:val="00DD00FF"/>
    <w:rsid w:val="00DD0619"/>
    <w:rsid w:val="00DD07FB"/>
    <w:rsid w:val="00DD25C6"/>
    <w:rsid w:val="00DD43F2"/>
    <w:rsid w:val="00DD4FE5"/>
    <w:rsid w:val="00DD54B0"/>
    <w:rsid w:val="00DD57EE"/>
    <w:rsid w:val="00DD60D5"/>
    <w:rsid w:val="00DD6267"/>
    <w:rsid w:val="00DD6BCC"/>
    <w:rsid w:val="00DE0A4B"/>
    <w:rsid w:val="00DE2410"/>
    <w:rsid w:val="00DE2939"/>
    <w:rsid w:val="00DE4C93"/>
    <w:rsid w:val="00DE51A8"/>
    <w:rsid w:val="00DE62E1"/>
    <w:rsid w:val="00DE6E81"/>
    <w:rsid w:val="00DE703F"/>
    <w:rsid w:val="00DE7595"/>
    <w:rsid w:val="00DF0703"/>
    <w:rsid w:val="00DF1961"/>
    <w:rsid w:val="00DF44DE"/>
    <w:rsid w:val="00E01138"/>
    <w:rsid w:val="00E02D5D"/>
    <w:rsid w:val="00E02DFB"/>
    <w:rsid w:val="00E030F9"/>
    <w:rsid w:val="00E0311A"/>
    <w:rsid w:val="00E03138"/>
    <w:rsid w:val="00E06404"/>
    <w:rsid w:val="00E11A85"/>
    <w:rsid w:val="00E12495"/>
    <w:rsid w:val="00E13CF7"/>
    <w:rsid w:val="00E15CCD"/>
    <w:rsid w:val="00E202EF"/>
    <w:rsid w:val="00E210B5"/>
    <w:rsid w:val="00E2552F"/>
    <w:rsid w:val="00E3137A"/>
    <w:rsid w:val="00E32CCF"/>
    <w:rsid w:val="00E34A98"/>
    <w:rsid w:val="00E35D1E"/>
    <w:rsid w:val="00E364F9"/>
    <w:rsid w:val="00E365FA"/>
    <w:rsid w:val="00E36789"/>
    <w:rsid w:val="00E36E4C"/>
    <w:rsid w:val="00E4050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2EF"/>
    <w:rsid w:val="00E846C8"/>
    <w:rsid w:val="00E84957"/>
    <w:rsid w:val="00E84A55"/>
    <w:rsid w:val="00E85BFF"/>
    <w:rsid w:val="00E86B04"/>
    <w:rsid w:val="00E90391"/>
    <w:rsid w:val="00E906C2"/>
    <w:rsid w:val="00E90E19"/>
    <w:rsid w:val="00E9311F"/>
    <w:rsid w:val="00E934D1"/>
    <w:rsid w:val="00E94AF0"/>
    <w:rsid w:val="00E95D13"/>
    <w:rsid w:val="00E95DD3"/>
    <w:rsid w:val="00E969D5"/>
    <w:rsid w:val="00E96BC2"/>
    <w:rsid w:val="00EA4B63"/>
    <w:rsid w:val="00EA58D1"/>
    <w:rsid w:val="00EA5A15"/>
    <w:rsid w:val="00EA61BC"/>
    <w:rsid w:val="00EA681A"/>
    <w:rsid w:val="00EA735B"/>
    <w:rsid w:val="00EB1E69"/>
    <w:rsid w:val="00EB2086"/>
    <w:rsid w:val="00EB31ED"/>
    <w:rsid w:val="00EB5EDF"/>
    <w:rsid w:val="00EB60FE"/>
    <w:rsid w:val="00EB74DB"/>
    <w:rsid w:val="00EC3699"/>
    <w:rsid w:val="00EC5359"/>
    <w:rsid w:val="00EC562A"/>
    <w:rsid w:val="00ED067A"/>
    <w:rsid w:val="00ED2B50"/>
    <w:rsid w:val="00EE0350"/>
    <w:rsid w:val="00EE0719"/>
    <w:rsid w:val="00EE0E80"/>
    <w:rsid w:val="00EE613F"/>
    <w:rsid w:val="00EE7295"/>
    <w:rsid w:val="00EE7869"/>
    <w:rsid w:val="00EF054A"/>
    <w:rsid w:val="00EF25E0"/>
    <w:rsid w:val="00EF3235"/>
    <w:rsid w:val="00EF7E72"/>
    <w:rsid w:val="00F010F6"/>
    <w:rsid w:val="00F06D37"/>
    <w:rsid w:val="00F07B9D"/>
    <w:rsid w:val="00F11586"/>
    <w:rsid w:val="00F1183B"/>
    <w:rsid w:val="00F11C9F"/>
    <w:rsid w:val="00F12263"/>
    <w:rsid w:val="00F13913"/>
    <w:rsid w:val="00F1409D"/>
    <w:rsid w:val="00F14214"/>
    <w:rsid w:val="00F157A9"/>
    <w:rsid w:val="00F16F00"/>
    <w:rsid w:val="00F25BB6"/>
    <w:rsid w:val="00F26B7E"/>
    <w:rsid w:val="00F27A3B"/>
    <w:rsid w:val="00F27BAC"/>
    <w:rsid w:val="00F30E99"/>
    <w:rsid w:val="00F32780"/>
    <w:rsid w:val="00F33817"/>
    <w:rsid w:val="00F420D5"/>
    <w:rsid w:val="00F451EA"/>
    <w:rsid w:val="00F45447"/>
    <w:rsid w:val="00F456C6"/>
    <w:rsid w:val="00F4577B"/>
    <w:rsid w:val="00F46496"/>
    <w:rsid w:val="00F474D0"/>
    <w:rsid w:val="00F50179"/>
    <w:rsid w:val="00F515EE"/>
    <w:rsid w:val="00F523A1"/>
    <w:rsid w:val="00F56511"/>
    <w:rsid w:val="00F613D4"/>
    <w:rsid w:val="00F6194E"/>
    <w:rsid w:val="00F623AC"/>
    <w:rsid w:val="00F6412A"/>
    <w:rsid w:val="00F65893"/>
    <w:rsid w:val="00F66A4A"/>
    <w:rsid w:val="00F71E22"/>
    <w:rsid w:val="00F72142"/>
    <w:rsid w:val="00F72AE7"/>
    <w:rsid w:val="00F82E9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850"/>
    <w:rsid w:val="00FA73B1"/>
    <w:rsid w:val="00FB0CB9"/>
    <w:rsid w:val="00FB231D"/>
    <w:rsid w:val="00FB45F1"/>
    <w:rsid w:val="00FB4A72"/>
    <w:rsid w:val="00FB5287"/>
    <w:rsid w:val="00FB54E8"/>
    <w:rsid w:val="00FB7054"/>
    <w:rsid w:val="00FB7B12"/>
    <w:rsid w:val="00FC04D2"/>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BC1"/>
    <w:rsid w:val="00FF2149"/>
    <w:rsid w:val="00FF3E7D"/>
    <w:rsid w:val="00FF5B99"/>
    <w:rsid w:val="00FF730C"/>
    <w:rsid w:val="00FF73F4"/>
    <w:rsid w:val="00FF7CE4"/>
    <w:rsid w:val="00FF7E39"/>
    <w:rsid w:val="03FF3601"/>
    <w:rsid w:val="04125510"/>
    <w:rsid w:val="0D091D9A"/>
    <w:rsid w:val="0FDF54DD"/>
    <w:rsid w:val="162A5428"/>
    <w:rsid w:val="166010DC"/>
    <w:rsid w:val="1D291034"/>
    <w:rsid w:val="1E45315B"/>
    <w:rsid w:val="1EFA59E6"/>
    <w:rsid w:val="23D04C33"/>
    <w:rsid w:val="23D86A46"/>
    <w:rsid w:val="244514B2"/>
    <w:rsid w:val="265728A3"/>
    <w:rsid w:val="273264DD"/>
    <w:rsid w:val="28F30586"/>
    <w:rsid w:val="36971C9C"/>
    <w:rsid w:val="3A013C75"/>
    <w:rsid w:val="3F545D5B"/>
    <w:rsid w:val="414552C9"/>
    <w:rsid w:val="46187C4D"/>
    <w:rsid w:val="4C5F3A1A"/>
    <w:rsid w:val="4DF41807"/>
    <w:rsid w:val="500A7726"/>
    <w:rsid w:val="52833022"/>
    <w:rsid w:val="5F8F77E3"/>
    <w:rsid w:val="60602BF4"/>
    <w:rsid w:val="6314284C"/>
    <w:rsid w:val="641644E4"/>
    <w:rsid w:val="66974E96"/>
    <w:rsid w:val="67E41F06"/>
    <w:rsid w:val="680E0513"/>
    <w:rsid w:val="6942558D"/>
    <w:rsid w:val="69523426"/>
    <w:rsid w:val="6A7B7F91"/>
    <w:rsid w:val="6DAF7654"/>
    <w:rsid w:val="6E0B3324"/>
    <w:rsid w:val="72A77F39"/>
    <w:rsid w:val="75CE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semiHidden/>
    <w:unhideWhenUsed/>
    <w:qFormat/>
    <w:uiPriority w:val="35"/>
    <w:rPr>
      <w:rFonts w:ascii="Arial" w:hAnsi="Arial" w:eastAsia="黑体"/>
      <w:sz w:val="20"/>
    </w:rPr>
  </w:style>
  <w:style w:type="paragraph" w:styleId="14">
    <w:name w:val="annotation text"/>
    <w:basedOn w:val="1"/>
    <w:semiHidden/>
    <w:unhideWhenUsed/>
    <w:qFormat/>
    <w:uiPriority w:val="99"/>
    <w:pPr>
      <w:jc w:val="left"/>
    </w:pPr>
  </w:style>
  <w:style w:type="paragraph" w:styleId="15">
    <w:name w:val="Body Text"/>
    <w:basedOn w:val="1"/>
    <w:link w:val="88"/>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20"/>
    <w:qFormat/>
    <w:uiPriority w:val="99"/>
    <w:rPr>
      <w:kern w:val="2"/>
      <w:sz w:val="18"/>
      <w:szCs w:val="18"/>
    </w:rPr>
  </w:style>
  <w:style w:type="character" w:customStyle="1" w:styleId="46">
    <w:name w:val="页脚 Char"/>
    <w:link w:val="19"/>
    <w:qFormat/>
    <w:uiPriority w:val="99"/>
    <w:rPr>
      <w:rFonts w:ascii="宋体"/>
      <w:kern w:val="2"/>
      <w:sz w:val="18"/>
      <w:szCs w:val="18"/>
    </w:rPr>
  </w:style>
  <w:style w:type="character" w:customStyle="1" w:styleId="47">
    <w:name w:val="批注框文本 Char"/>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5"/>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5.png"/><Relationship Id="rId3" Type="http://schemas.openxmlformats.org/officeDocument/2006/relationships/footnotes" Target="footnotes.xml"/><Relationship Id="rId29" Type="http://schemas.openxmlformats.org/officeDocument/2006/relationships/image" Target="media/image4.png"/><Relationship Id="rId28" Type="http://schemas.openxmlformats.org/officeDocument/2006/relationships/image" Target="media/image3.wmf"/><Relationship Id="rId27" Type="http://schemas.openxmlformats.org/officeDocument/2006/relationships/oleObject" Target="embeddings/oleObject1.bin"/><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0BAD1D096DA435C958A3CC3CE42E1DA"/>
        <w:style w:val=""/>
        <w:category>
          <w:name w:val="常规"/>
          <w:gallery w:val="placeholder"/>
        </w:category>
        <w:types>
          <w:type w:val="bbPlcHdr"/>
        </w:types>
        <w:behaviors>
          <w:behavior w:val="content"/>
        </w:behaviors>
        <w:description w:val=""/>
        <w:guid w:val="{61934528-37A1-49F9-BF08-2AAB414F29F7}"/>
      </w:docPartPr>
      <w:docPartBody>
        <w:p w14:paraId="3CC829FB">
          <w:pPr>
            <w:pStyle w:val="5"/>
          </w:pPr>
          <w:r>
            <w:rPr>
              <w:rStyle w:val="4"/>
              <w:rFonts w:hint="eastAsia"/>
            </w:rPr>
            <w:t>单击或点击此处输入文字。</w:t>
          </w:r>
        </w:p>
      </w:docPartBody>
    </w:docPart>
    <w:docPart>
      <w:docPartPr>
        <w:name w:val="5FE49046297C4A68A6C5EFDE3F027740"/>
        <w:style w:val=""/>
        <w:category>
          <w:name w:val="常规"/>
          <w:gallery w:val="placeholder"/>
        </w:category>
        <w:types>
          <w:type w:val="bbPlcHdr"/>
        </w:types>
        <w:behaviors>
          <w:behavior w:val="content"/>
        </w:behaviors>
        <w:description w:val=""/>
        <w:guid w:val="{653A4C1D-7889-4750-B832-B9993DB68657}"/>
      </w:docPartPr>
      <w:docPartBody>
        <w:p w14:paraId="6C219D15">
          <w:pPr>
            <w:pStyle w:val="6"/>
          </w:pPr>
          <w:r>
            <w:rPr>
              <w:rStyle w:val="4"/>
              <w:rFonts w:hint="eastAsia"/>
            </w:rPr>
            <w:t>选择一项。</w:t>
          </w:r>
        </w:p>
      </w:docPartBody>
    </w:docPart>
    <w:docPart>
      <w:docPartPr>
        <w:name w:val="82FAD4B12AFB42FD997383B282BB9FD2"/>
        <w:style w:val=""/>
        <w:category>
          <w:name w:val="常规"/>
          <w:gallery w:val="placeholder"/>
        </w:category>
        <w:types>
          <w:type w:val="bbPlcHdr"/>
        </w:types>
        <w:behaviors>
          <w:behavior w:val="content"/>
        </w:behaviors>
        <w:description w:val=""/>
        <w:guid w:val="{23D05D0A-0F65-4FE0-9D29-D2C0C0556922}"/>
      </w:docPartPr>
      <w:docPartBody>
        <w:p w14:paraId="3EE31F8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07BD0"/>
    <w:rsid w:val="00125FC3"/>
    <w:rsid w:val="0019067E"/>
    <w:rsid w:val="001F0DCA"/>
    <w:rsid w:val="003A5430"/>
    <w:rsid w:val="004E2C37"/>
    <w:rsid w:val="00541666"/>
    <w:rsid w:val="00607BD0"/>
    <w:rsid w:val="00626E02"/>
    <w:rsid w:val="00880EF2"/>
    <w:rsid w:val="008B3521"/>
    <w:rsid w:val="00912CE7"/>
    <w:rsid w:val="00A4393F"/>
    <w:rsid w:val="00A90208"/>
    <w:rsid w:val="00C1100C"/>
    <w:rsid w:val="00C63547"/>
    <w:rsid w:val="00D44093"/>
    <w:rsid w:val="00DD45EC"/>
    <w:rsid w:val="00E774DF"/>
    <w:rsid w:val="00EC19E9"/>
    <w:rsid w:val="00F30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0BAD1D096DA435C958A3CC3CE42E1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FE49046297C4A68A6C5EFDE3F0277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2FAD4B12AFB42FD997383B282BB9FD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EE7DE4-D18F-4C90-AD2E-D90AB7F476B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3162</Words>
  <Characters>4215</Characters>
  <Lines>32</Lines>
  <Paragraphs>9</Paragraphs>
  <TotalTime>12</TotalTime>
  <ScaleCrop>false</ScaleCrop>
  <LinksUpToDate>false</LinksUpToDate>
  <CharactersWithSpaces>4418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2026-03-09T13:02:00Z</dcterms:created>
  <dc:creator>起草人</dc:creator>
  <cp:lastModifiedBy>覃小心</cp:lastModifiedBy>
  <cp:lastPrinted>2025-04-14T03:00:00Z</cp:lastPrinted>
  <dcterms:modified xsi:type="dcterms:W3CDTF">2026-07-24T02:20:36Z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eyJoZGlkIjoiYTYzMTM4OWRhYjdhMmNiZDk0Yzk3ZWQwYzUwMDdjNGMiLCJ1c2VySWQiOiI0MTQ3NTg4MzQifQ==</vt:lpwstr>
  </property>
  <property fmtid="{D5CDD505-2E9C-101B-9397-08002B2CF9AE}" pid="16" name="KSOProductBuildVer">
    <vt:lpwstr>2052-12.1.0.26895</vt:lpwstr>
  </property>
  <property fmtid="{D5CDD505-2E9C-101B-9397-08002B2CF9AE}" pid="17" name="ICV">
    <vt:lpwstr>7A7B69ED8BCA4C1A9FC8B66F79EADDE8_13</vt:lpwstr>
  </property>
  <property fmtid="{D5CDD505-2E9C-101B-9397-08002B2CF9AE}" pid="18" name="uuid">
    <vt:lpwstr>19f91c2a21b38de360cef9306ab</vt:lpwstr>
  </property>
</Properties>
</file>